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DF" w:rsidRDefault="007E01DF" w:rsidP="007E01DF">
      <w:pPr>
        <w:rPr>
          <w:rFonts w:cs="Arial"/>
        </w:rPr>
      </w:pPr>
      <w:r w:rsidRPr="00EA2282">
        <w:rPr>
          <w:rFonts w:cs="Arial"/>
          <w:noProof/>
          <w:color w:val="231F20"/>
          <w:sz w:val="20"/>
          <w:lang w:eastAsia="cs-CZ"/>
        </w:rPr>
        <w:drawing>
          <wp:inline distT="0" distB="0" distL="0" distR="0" wp14:anchorId="1EAE2E2A" wp14:editId="1B2DCB37">
            <wp:extent cx="1438275" cy="885825"/>
            <wp:effectExtent l="0" t="0" r="9525" b="9525"/>
            <wp:docPr id="3" name="Obrázek 3" descr="EGAP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GAP_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DF" w:rsidRPr="00367B00" w:rsidRDefault="007E01DF" w:rsidP="007E01DF">
      <w:pPr>
        <w:rPr>
          <w:rFonts w:cs="Arial"/>
          <w:b/>
          <w:sz w:val="48"/>
          <w:szCs w:val="48"/>
        </w:rPr>
      </w:pPr>
    </w:p>
    <w:p w:rsidR="007E01DF" w:rsidRDefault="007E01DF" w:rsidP="007E01DF">
      <w:pPr>
        <w:jc w:val="center"/>
        <w:rPr>
          <w:rFonts w:cs="Arial"/>
          <w:b/>
          <w:sz w:val="32"/>
          <w:szCs w:val="32"/>
        </w:rPr>
      </w:pPr>
      <w:r w:rsidRPr="00367B00">
        <w:rPr>
          <w:rFonts w:cs="Arial"/>
          <w:b/>
          <w:sz w:val="32"/>
          <w:szCs w:val="32"/>
        </w:rPr>
        <w:t>Postupy EGAP při určení podílu zboží a služeb českého původu na hodnotě vývozu a jeho kontrola</w:t>
      </w:r>
      <w:r>
        <w:rPr>
          <w:rFonts w:cs="Arial"/>
          <w:b/>
          <w:sz w:val="32"/>
          <w:szCs w:val="32"/>
        </w:rPr>
        <w:t xml:space="preserve"> ( platné od 15.10. 2013)</w:t>
      </w:r>
    </w:p>
    <w:p w:rsidR="007E01DF" w:rsidRPr="00367B00" w:rsidRDefault="007E01DF" w:rsidP="007E01DF">
      <w:pPr>
        <w:jc w:val="center"/>
        <w:rPr>
          <w:rFonts w:cs="Arial"/>
          <w:b/>
          <w:sz w:val="32"/>
          <w:szCs w:val="32"/>
        </w:rPr>
      </w:pPr>
    </w:p>
    <w:p w:rsidR="007E01DF" w:rsidRDefault="007E01DF" w:rsidP="007E01DF">
      <w:pPr>
        <w:pStyle w:val="Odstavecseseznamem"/>
        <w:ind w:left="426"/>
        <w:rPr>
          <w:rFonts w:ascii="Arial" w:hAnsi="Arial" w:cs="Arial"/>
          <w:b/>
          <w:szCs w:val="24"/>
        </w:rPr>
      </w:pPr>
    </w:p>
    <w:p w:rsidR="007E01DF" w:rsidRPr="003C7E41" w:rsidRDefault="007E01DF" w:rsidP="007E01DF">
      <w:pPr>
        <w:pStyle w:val="Nadpis3"/>
        <w:numPr>
          <w:ilvl w:val="0"/>
          <w:numId w:val="37"/>
        </w:numPr>
        <w:spacing w:before="120" w:line="240" w:lineRule="atLeast"/>
        <w:contextualSpacing w:val="0"/>
      </w:pPr>
      <w:bookmarkStart w:id="0" w:name="_Toc368648886"/>
      <w:r w:rsidRPr="003C7E41">
        <w:t>Východiska úpravy a její předmět</w:t>
      </w:r>
      <w:bookmarkEnd w:id="0"/>
    </w:p>
    <w:p w:rsidR="007E01DF" w:rsidRPr="003C7E41" w:rsidRDefault="007E01DF" w:rsidP="007E01DF">
      <w:pPr>
        <w:pStyle w:val="Odstavecseseznamem"/>
        <w:ind w:left="1080"/>
        <w:rPr>
          <w:rFonts w:ascii="Arial" w:hAnsi="Arial" w:cs="Arial"/>
          <w:b/>
          <w:szCs w:val="24"/>
        </w:rPr>
      </w:pPr>
    </w:p>
    <w:p w:rsidR="007E01DF" w:rsidRPr="003C7E41" w:rsidRDefault="007E01DF" w:rsidP="007E01DF">
      <w:pPr>
        <w:pStyle w:val="Odstavecseseznamem"/>
        <w:numPr>
          <w:ilvl w:val="0"/>
          <w:numId w:val="34"/>
        </w:numPr>
        <w:spacing w:after="12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Při poskytování </w:t>
      </w:r>
      <w:r w:rsidRPr="00EA2282">
        <w:rPr>
          <w:rFonts w:ascii="Arial" w:hAnsi="Arial" w:cs="Arial"/>
          <w:sz w:val="22"/>
          <w:szCs w:val="22"/>
        </w:rPr>
        <w:t>pojištění vývozních úvěrových rizik</w:t>
      </w:r>
      <w:r>
        <w:rPr>
          <w:rFonts w:ascii="Arial" w:hAnsi="Arial" w:cs="Arial"/>
          <w:sz w:val="22"/>
          <w:szCs w:val="22"/>
        </w:rPr>
        <w:t xml:space="preserve"> posuzuje EGAP výši českého podílu. </w:t>
      </w:r>
      <w:r w:rsidRPr="00EA2282">
        <w:rPr>
          <w:rFonts w:ascii="Arial" w:hAnsi="Arial" w:cs="Arial"/>
          <w:sz w:val="22"/>
          <w:szCs w:val="22"/>
        </w:rPr>
        <w:t xml:space="preserve">EGAP v návaznosti na podmínky poskytování pojištění vývozních úvěrových rizik stanovené zákonem č. </w:t>
      </w:r>
      <w:r w:rsidRPr="003C7E41">
        <w:rPr>
          <w:rFonts w:ascii="Arial" w:hAnsi="Arial" w:cs="Arial"/>
          <w:sz w:val="22"/>
          <w:szCs w:val="22"/>
        </w:rPr>
        <w:t>58/1995 Sb. stanoví tímto příkazem postupy při určení českého podílu, tj. podílu hodnoty zboží a služeb vytvořených v České republice, na hodnotě vývozu</w:t>
      </w:r>
      <w:r>
        <w:rPr>
          <w:rFonts w:ascii="Arial" w:hAnsi="Arial" w:cs="Arial"/>
          <w:sz w:val="22"/>
          <w:szCs w:val="22"/>
        </w:rPr>
        <w:t xml:space="preserve"> a výroby pro vývoz,</w:t>
      </w:r>
      <w:r w:rsidRPr="003C7E41">
        <w:rPr>
          <w:rFonts w:ascii="Arial" w:hAnsi="Arial" w:cs="Arial"/>
          <w:sz w:val="22"/>
          <w:szCs w:val="22"/>
        </w:rPr>
        <w:t xml:space="preserve"> a při posuzování jeho výše, a to jako jednoho z hledisek rozhodování o poskytnutí pojištění.</w:t>
      </w:r>
      <w:r>
        <w:rPr>
          <w:rFonts w:ascii="Arial" w:hAnsi="Arial" w:cs="Arial"/>
          <w:sz w:val="22"/>
          <w:szCs w:val="22"/>
        </w:rPr>
        <w:t xml:space="preserve"> Tímto příkazem je v návaznosti na posuzování výše českého podílu upravena výše možného pojištění a financování místních nákladů (</w:t>
      </w:r>
      <w:proofErr w:type="spellStart"/>
      <w:r>
        <w:rPr>
          <w:rFonts w:ascii="Arial" w:hAnsi="Arial" w:cs="Arial"/>
          <w:sz w:val="22"/>
          <w:szCs w:val="22"/>
        </w:rPr>
        <w:t>local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costs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7E01DF" w:rsidRPr="003C7E41" w:rsidRDefault="007E01DF" w:rsidP="007E01DF">
      <w:pPr>
        <w:pStyle w:val="Odstavecseseznamem"/>
        <w:spacing w:after="120"/>
        <w:ind w:left="709" w:hanging="567"/>
        <w:jc w:val="both"/>
        <w:rPr>
          <w:rFonts w:ascii="Arial" w:hAnsi="Arial" w:cs="Arial"/>
        </w:rPr>
      </w:pPr>
    </w:p>
    <w:p w:rsidR="007E01DF" w:rsidRPr="003C7E41" w:rsidRDefault="007E01DF" w:rsidP="007E01DF">
      <w:pPr>
        <w:pStyle w:val="Odstavecseseznamem"/>
        <w:ind w:left="709" w:hanging="283"/>
        <w:jc w:val="both"/>
        <w:rPr>
          <w:rFonts w:ascii="Arial" w:hAnsi="Arial" w:cs="Arial"/>
        </w:rPr>
      </w:pPr>
    </w:p>
    <w:p w:rsidR="007E01DF" w:rsidRPr="003C7E41" w:rsidRDefault="007E01DF" w:rsidP="007E01DF">
      <w:pPr>
        <w:pStyle w:val="Nadpis3"/>
        <w:numPr>
          <w:ilvl w:val="0"/>
          <w:numId w:val="37"/>
        </w:numPr>
        <w:spacing w:before="120" w:line="240" w:lineRule="atLeast"/>
        <w:contextualSpacing w:val="0"/>
      </w:pPr>
      <w:bookmarkStart w:id="1" w:name="_Toc368648887"/>
      <w:r w:rsidRPr="00EA2282">
        <w:t>Č</w:t>
      </w:r>
      <w:r w:rsidRPr="003C7E41">
        <w:t>eský podíl a jeho prokazování</w:t>
      </w:r>
      <w:bookmarkEnd w:id="1"/>
    </w:p>
    <w:p w:rsidR="007E01DF" w:rsidRPr="003C7E41" w:rsidRDefault="007E01DF" w:rsidP="007E01DF">
      <w:pPr>
        <w:pStyle w:val="Odstavecseseznamem"/>
        <w:ind w:left="426"/>
        <w:rPr>
          <w:rFonts w:ascii="Arial" w:hAnsi="Arial" w:cs="Arial"/>
          <w:b/>
          <w:szCs w:val="24"/>
        </w:rPr>
      </w:pPr>
    </w:p>
    <w:p w:rsidR="007E01DF" w:rsidRDefault="007E01DF" w:rsidP="007E01DF">
      <w:pPr>
        <w:pStyle w:val="slovn"/>
        <w:ind w:left="709" w:hanging="567"/>
        <w:jc w:val="both"/>
      </w:pPr>
      <w:r w:rsidRPr="00EA2282">
        <w:t>U v</w:t>
      </w:r>
      <w:r w:rsidRPr="003C7E41">
        <w:t>ývozu</w:t>
      </w:r>
      <w:r>
        <w:t xml:space="preserve"> nebo výroby pro vývoz</w:t>
      </w:r>
      <w:r w:rsidRPr="003C7E41">
        <w:t>, o jehož</w:t>
      </w:r>
      <w:r>
        <w:t>/jejíž</w:t>
      </w:r>
      <w:r w:rsidRPr="003C7E41">
        <w:t xml:space="preserve"> státní podporu formou pojištění vývozních úvěrových rizik se žádá</w:t>
      </w:r>
      <w:r>
        <w:t>, s výjimkou pojištění</w:t>
      </w:r>
      <w:r w:rsidRPr="003C7E41">
        <w:t xml:space="preserve"> investic </w:t>
      </w:r>
      <w:r>
        <w:t xml:space="preserve">českých právnických osob v zahraničí (I) </w:t>
      </w:r>
      <w:r w:rsidRPr="003C7E41">
        <w:t xml:space="preserve">a </w:t>
      </w:r>
      <w:r>
        <w:t>pojištění úvěru</w:t>
      </w:r>
      <w:r w:rsidRPr="003C7E41">
        <w:t xml:space="preserve"> na </w:t>
      </w:r>
      <w:r>
        <w:t>financování investic českých právnických osob v zahraničí (</w:t>
      </w:r>
      <w:proofErr w:type="spellStart"/>
      <w:r>
        <w:t>If</w:t>
      </w:r>
      <w:proofErr w:type="spellEnd"/>
      <w:r>
        <w:t xml:space="preserve">), kdy je postup upraven v odstavci 2., </w:t>
      </w:r>
      <w:r w:rsidRPr="003C7E41">
        <w:t>musí český podíl představovat minimálně 50 % hodnoty vývozu</w:t>
      </w:r>
      <w:r>
        <w:t xml:space="preserve"> nebo výroby pro vývoz</w:t>
      </w:r>
      <w:r w:rsidRPr="003C7E41">
        <w:t xml:space="preserve">, pokud není dále stanoveno jinak. </w:t>
      </w:r>
    </w:p>
    <w:p w:rsidR="007E01DF" w:rsidRPr="003C7E41" w:rsidRDefault="007E01DF" w:rsidP="007E01DF">
      <w:pPr>
        <w:pStyle w:val="slovn"/>
        <w:ind w:left="709" w:hanging="567"/>
        <w:jc w:val="both"/>
      </w:pPr>
      <w:r>
        <w:t xml:space="preserve">U </w:t>
      </w:r>
      <w:r w:rsidRPr="003C7E41">
        <w:t xml:space="preserve">pojištění investic </w:t>
      </w:r>
      <w:r>
        <w:t xml:space="preserve">českých právnických osob v zahraničí („I“) </w:t>
      </w:r>
      <w:r w:rsidRPr="003C7E41">
        <w:t xml:space="preserve">a </w:t>
      </w:r>
      <w:r>
        <w:t xml:space="preserve">pojištění </w:t>
      </w:r>
      <w:r w:rsidRPr="003C7E41">
        <w:t>úvěr</w:t>
      </w:r>
      <w:r>
        <w:t>u</w:t>
      </w:r>
      <w:r w:rsidRPr="003C7E41">
        <w:t xml:space="preserve"> na </w:t>
      </w:r>
      <w:r>
        <w:t xml:space="preserve">financování </w:t>
      </w:r>
      <w:r w:rsidRPr="003C7E41">
        <w:t>investic</w:t>
      </w:r>
      <w:r>
        <w:t xml:space="preserve"> českých právnických osob v zahraničí („</w:t>
      </w:r>
      <w:proofErr w:type="spellStart"/>
      <w:r>
        <w:t>If</w:t>
      </w:r>
      <w:proofErr w:type="spellEnd"/>
      <w:r>
        <w:t>“) se hledisko českého podílu může uplatnit na základě požadavku při schvalování poskytnutí pojištění</w:t>
      </w:r>
      <w:r>
        <w:rPr>
          <w:rStyle w:val="Znakapoznpodarou"/>
        </w:rPr>
        <w:footnoteReference w:id="1"/>
      </w:r>
      <w:r>
        <w:t xml:space="preserve"> pouze</w:t>
      </w:r>
      <w:r w:rsidRPr="003C7E41">
        <w:t xml:space="preserve"> </w:t>
      </w:r>
      <w:r>
        <w:t xml:space="preserve">jako doplňková informace při rozhodování o poskytnutí pojištění. </w:t>
      </w:r>
    </w:p>
    <w:p w:rsidR="007E01DF" w:rsidRPr="00916343" w:rsidRDefault="007E01DF" w:rsidP="007E01DF">
      <w:pPr>
        <w:pStyle w:val="slovn"/>
        <w:ind w:left="709" w:hanging="567"/>
        <w:jc w:val="both"/>
      </w:pPr>
      <w:r w:rsidRPr="00777DFD">
        <w:t>Vývozce či výrobce uvede v Prohlášení o podílu hodnoty vývozu</w:t>
      </w:r>
      <w:r w:rsidRPr="00280439">
        <w:t xml:space="preserve"> výši českého podílu na </w:t>
      </w:r>
      <w:r w:rsidRPr="00916343">
        <w:t xml:space="preserve">hodnotě vývozu nebo výroby, tj. na ceně sjednané ve smlouvě o vývozu či smlouvě o výrobě pro vývoz, vyjádřenou v procentech. Uvedené prohlášení předkládá žadatel o pojištění  společně se  Závaznou žádostí o pojištění. Výše českého podílu je následně uvedena ve Smlouvě o úpravě vztahu s vývozcem/výrobcem, není-li pojištěným, resp. v pojistné smlouvě společně s </w:t>
      </w:r>
      <w:r w:rsidRPr="00916343">
        <w:rPr>
          <w:iCs/>
        </w:rPr>
        <w:t>informačními povinnostmi vývozce či výrobce ve vztahu k naplňování českého podílu a dalšími závazky s tím spojenými, je-li vývozce či výrobce pojištěným.</w:t>
      </w:r>
    </w:p>
    <w:p w:rsidR="007E01DF" w:rsidRPr="003C7E41" w:rsidRDefault="007E01DF" w:rsidP="007E01DF">
      <w:pPr>
        <w:pStyle w:val="slovn"/>
        <w:ind w:left="709" w:hanging="567"/>
        <w:jc w:val="both"/>
      </w:pPr>
      <w:r w:rsidRPr="003C7E41">
        <w:t xml:space="preserve">V případě, že předmětem pojištění jsou vývozní úvěrová rizika z dodání zboží či služeb </w:t>
      </w:r>
      <w:r>
        <w:t>vývozcem</w:t>
      </w:r>
      <w:r w:rsidRPr="003C7E41">
        <w:t>, který je zahraniční společností, musí český podíl představovat rovněž minimálně 50 % hodnoty vývozu</w:t>
      </w:r>
      <w:r>
        <w:t xml:space="preserve"> nebo výroby pro vývoz</w:t>
      </w:r>
      <w:r w:rsidRPr="003C7E41">
        <w:t xml:space="preserve">, a navíc musí být naplněno alespoň jedno z následujících kritérií národního zájmu České republiky: 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1276" w:hanging="567"/>
      </w:pPr>
      <w:r w:rsidRPr="003C7E41">
        <w:lastRenderedPageBreak/>
        <w:t>a) </w:t>
      </w:r>
      <w:r w:rsidRPr="003C7E41">
        <w:tab/>
        <w:t>dodávka napomáhá zaměstnanosti v České republice,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1276" w:hanging="567"/>
      </w:pPr>
      <w:r w:rsidRPr="003C7E41">
        <w:t>b)</w:t>
      </w:r>
      <w:r w:rsidRPr="003C7E41">
        <w:tab/>
        <w:t>jedná se o vývoz</w:t>
      </w:r>
      <w:r>
        <w:t xml:space="preserve"> nebo výrobu pro vývoz</w:t>
      </w:r>
      <w:r w:rsidRPr="003C7E41">
        <w:t xml:space="preserve"> do prioritních zemí,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1276" w:hanging="567"/>
      </w:pPr>
      <w:r w:rsidRPr="003C7E41">
        <w:t>c)</w:t>
      </w:r>
      <w:r w:rsidRPr="003C7E41">
        <w:tab/>
        <w:t>dochází tím k podpoře malých a středních podniků,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1276" w:hanging="567"/>
      </w:pPr>
      <w:r w:rsidRPr="003C7E41">
        <w:t>d)</w:t>
      </w:r>
      <w:r w:rsidRPr="003C7E41">
        <w:tab/>
        <w:t>jedná se o vývoz vyspělých technologií</w:t>
      </w:r>
      <w:r>
        <w:t xml:space="preserve"> (dle klasifikace ČSÚ </w:t>
      </w:r>
      <w:proofErr w:type="spellStart"/>
      <w:r>
        <w:t>High-Tech</w:t>
      </w:r>
      <w:proofErr w:type="spellEnd"/>
      <w:r>
        <w:t xml:space="preserve"> zboží dle SITC)</w:t>
      </w:r>
      <w:r w:rsidRPr="003C7E41">
        <w:t>,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1276" w:hanging="567"/>
      </w:pPr>
      <w:r w:rsidRPr="003C7E41">
        <w:t>e)</w:t>
      </w:r>
      <w:r w:rsidRPr="003C7E41">
        <w:tab/>
        <w:t>dochází k podpoře výzkumu a vývoj</w:t>
      </w:r>
      <w:r>
        <w:t>e</w:t>
      </w:r>
      <w:r w:rsidRPr="003C7E41">
        <w:t xml:space="preserve"> v České republice,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1276" w:hanging="567"/>
      </w:pPr>
      <w:r w:rsidRPr="003C7E41">
        <w:t>f)</w:t>
      </w:r>
      <w:r w:rsidRPr="003C7E41">
        <w:tab/>
        <w:t>dojde ke snížení nákladů a udržení mezinárodní konkurenceschopnosti,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1276" w:hanging="567"/>
      </w:pPr>
      <w:r w:rsidRPr="003C7E41">
        <w:t>g)</w:t>
      </w:r>
      <w:r w:rsidRPr="003C7E41">
        <w:tab/>
        <w:t>jedná se o podporu nového produktu</w:t>
      </w:r>
      <w:r>
        <w:t>,</w:t>
      </w:r>
      <w:r w:rsidRPr="003C7E41">
        <w:t xml:space="preserve"> resp. proniknutí na nový trh,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1276" w:hanging="567"/>
      </w:pPr>
      <w:r w:rsidRPr="003C7E41">
        <w:t>h)</w:t>
      </w:r>
      <w:r w:rsidRPr="003C7E41">
        <w:tab/>
        <w:t>dividendy ze zahraniční společnosti budou použity v České republice, nebo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1276" w:hanging="567"/>
      </w:pPr>
      <w:r w:rsidRPr="003C7E41">
        <w:t>i)</w:t>
      </w:r>
      <w:r w:rsidRPr="003C7E41">
        <w:tab/>
        <w:t>dojde k jiným významným přínosům pro Českou republiku v delším časovém období.</w:t>
      </w:r>
    </w:p>
    <w:p w:rsidR="007E01DF" w:rsidRPr="003C7E41" w:rsidRDefault="007E01DF" w:rsidP="007E01DF">
      <w:pPr>
        <w:pStyle w:val="slovn"/>
        <w:ind w:left="709" w:hanging="567"/>
        <w:jc w:val="both"/>
      </w:pPr>
      <w:r w:rsidRPr="003C7E41">
        <w:t>Zboží a služby, které jsou předmětem vývozu</w:t>
      </w:r>
      <w:r>
        <w:t xml:space="preserve"> nebo výroby</w:t>
      </w:r>
      <w:r w:rsidRPr="003C7E41">
        <w:t xml:space="preserve"> </w:t>
      </w:r>
      <w:r>
        <w:t xml:space="preserve">pro vývoz, </w:t>
      </w:r>
      <w:r w:rsidRPr="003C7E41">
        <w:t>jsou pro účely propočtu českého podílu dle odstavce 1.</w:t>
      </w:r>
      <w:r>
        <w:t xml:space="preserve"> a 4.</w:t>
      </w:r>
      <w:r w:rsidRPr="003C7E41">
        <w:t xml:space="preserve"> považovány za zboží a služby českého původu, pokud jsou splněny následující podmínky:</w:t>
      </w:r>
    </w:p>
    <w:p w:rsidR="007E01DF" w:rsidRPr="003C7E41" w:rsidRDefault="007E01DF" w:rsidP="007E01DF">
      <w:pPr>
        <w:pStyle w:val="slovn2"/>
        <w:ind w:left="1276" w:hanging="567"/>
        <w:jc w:val="both"/>
      </w:pPr>
      <w:r>
        <w:t xml:space="preserve">stranou </w:t>
      </w:r>
      <w:r w:rsidRPr="003C7E41">
        <w:t>smlouv</w:t>
      </w:r>
      <w:r>
        <w:t>y</w:t>
      </w:r>
      <w:r w:rsidRPr="003C7E41">
        <w:t xml:space="preserve"> o vývozu</w:t>
      </w:r>
      <w:r>
        <w:t xml:space="preserve"> či smlouvy o výrobě pro vývoz,</w:t>
      </w:r>
      <w:r w:rsidRPr="003C7E41">
        <w:t xml:space="preserve"> </w:t>
      </w:r>
      <w:r>
        <w:t>je vývozce</w:t>
      </w:r>
      <w:r w:rsidRPr="003C7E41">
        <w:t>,</w:t>
      </w:r>
    </w:p>
    <w:p w:rsidR="007E01DF" w:rsidRPr="003C7E41" w:rsidRDefault="007E01DF" w:rsidP="007E01DF">
      <w:pPr>
        <w:pStyle w:val="slovn2"/>
        <w:ind w:left="1276" w:hanging="567"/>
        <w:jc w:val="both"/>
      </w:pPr>
      <w:r w:rsidRPr="003C7E41">
        <w:t>zboží a služby, které jsou předmětem vývozu</w:t>
      </w:r>
      <w:r>
        <w:t xml:space="preserve"> nebo výroby pro vývoz</w:t>
      </w:r>
      <w:r w:rsidRPr="003C7E41">
        <w:t xml:space="preserve">, jsou </w:t>
      </w:r>
      <w:r>
        <w:t>vývozcem</w:t>
      </w:r>
      <w:r w:rsidRPr="003C7E41">
        <w:t xml:space="preserve"> fakturovány přímo dovozci (zahraničnímu kupujícímu),</w:t>
      </w:r>
    </w:p>
    <w:p w:rsidR="007E01DF" w:rsidRPr="003C7E41" w:rsidRDefault="007E01DF" w:rsidP="007E01DF">
      <w:pPr>
        <w:pStyle w:val="slovn2"/>
        <w:numPr>
          <w:ilvl w:val="0"/>
          <w:numId w:val="33"/>
        </w:numPr>
        <w:ind w:left="1276" w:hanging="567"/>
        <w:jc w:val="both"/>
      </w:pPr>
      <w:r w:rsidRPr="003C7E41">
        <w:t>subdodávka pro vývoz</w:t>
      </w:r>
      <w:r>
        <w:t xml:space="preserve"> nebo výrobu pro vývoz</w:t>
      </w:r>
      <w:r w:rsidRPr="003C7E41">
        <w:t xml:space="preserve"> je </w:t>
      </w:r>
      <w:r>
        <w:t>vývozci či výrobci</w:t>
      </w:r>
      <w:r w:rsidRPr="003C7E41">
        <w:t xml:space="preserve"> dodána a fakturována českým subdodavatelem, </w:t>
      </w:r>
    </w:p>
    <w:p w:rsidR="007E01DF" w:rsidRDefault="007E01DF" w:rsidP="007E01DF">
      <w:pPr>
        <w:pStyle w:val="slovn2"/>
        <w:numPr>
          <w:ilvl w:val="0"/>
          <w:numId w:val="33"/>
        </w:numPr>
        <w:ind w:left="1276" w:hanging="567"/>
        <w:jc w:val="both"/>
      </w:pPr>
      <w:r>
        <w:t>s</w:t>
      </w:r>
      <w:r w:rsidRPr="003C7E41">
        <w:t xml:space="preserve">ubdodávky (komponenty, součástky, materiál, apod.), které </w:t>
      </w:r>
      <w:r>
        <w:t>vývozce, výrobce</w:t>
      </w:r>
      <w:r w:rsidRPr="003C7E41">
        <w:t xml:space="preserve"> nebo jeho český subdodavatel nakoupili ze zahraničí, jsou považovány za českého původu </w:t>
      </w:r>
      <w:r>
        <w:t>pouze,</w:t>
      </w:r>
      <w:r w:rsidRPr="003C7E41">
        <w:t xml:space="preserve"> pokud </w:t>
      </w:r>
      <w:r>
        <w:t>vývozce, výrobce</w:t>
      </w:r>
      <w:r w:rsidRPr="003C7E41">
        <w:t xml:space="preserve"> nebo český subdodavatel tyto subdodávky ve výrobě zhodnotili </w:t>
      </w:r>
      <w:r>
        <w:t>způsobem dle posouzení ze strany EGAP</w:t>
      </w:r>
      <w:r w:rsidRPr="00777DFD">
        <w:t xml:space="preserve">, </w:t>
      </w:r>
      <w:r w:rsidRPr="00280439">
        <w:t>tj. Obchodníkem,</w:t>
      </w:r>
      <w:r w:rsidRPr="00777DFD">
        <w:t xml:space="preserve"> </w:t>
      </w:r>
      <w:r w:rsidRPr="00280439">
        <w:t>dostatečným</w:t>
      </w:r>
      <w:r>
        <w:t>. Nesmí se jednat o pouhý reexport zboží v nezměněném stavu nebo jen velmi jednoduchou manipulaci. P</w:t>
      </w:r>
      <w:r w:rsidRPr="003C7E41">
        <w:t>ři posouzení míry zhodnocení je přihlíženo zejména k rozsahu a složitosti zhodnocení subdodávek na území České republiky formou</w:t>
      </w:r>
      <w:r>
        <w:t xml:space="preserve"> </w:t>
      </w:r>
      <w:r w:rsidRPr="003C7E41">
        <w:t xml:space="preserve">montáže či opracování, a to </w:t>
      </w:r>
      <w:r>
        <w:t xml:space="preserve">především </w:t>
      </w:r>
      <w:r w:rsidRPr="003C7E41">
        <w:t xml:space="preserve">na základě </w:t>
      </w:r>
      <w:r>
        <w:t xml:space="preserve">věcného </w:t>
      </w:r>
      <w:r w:rsidRPr="003C7E41">
        <w:t xml:space="preserve">popisu </w:t>
      </w:r>
      <w:r>
        <w:t xml:space="preserve">způsobu </w:t>
      </w:r>
      <w:r w:rsidRPr="003C7E41">
        <w:t xml:space="preserve">zhodnocení předloženého </w:t>
      </w:r>
      <w:r>
        <w:t>vývozcem či výrobcem</w:t>
      </w:r>
      <w:r w:rsidRPr="003C7E41">
        <w:t>, popř. inspekční společností,</w:t>
      </w:r>
      <w:r>
        <w:t xml:space="preserve"> který vývozce či výrobce doplní cenovou kalkulací.</w:t>
      </w:r>
    </w:p>
    <w:p w:rsidR="007E01DF" w:rsidRPr="003C7E41" w:rsidRDefault="007E01DF" w:rsidP="007E01DF">
      <w:pPr>
        <w:pStyle w:val="slovn2"/>
        <w:numPr>
          <w:ilvl w:val="0"/>
          <w:numId w:val="33"/>
        </w:numPr>
        <w:ind w:left="1276" w:hanging="567"/>
        <w:jc w:val="both"/>
      </w:pPr>
      <w:r w:rsidRPr="003C7E41">
        <w:t>subdodávka ze zahraničí, která je součástí smlouvy o vývozu</w:t>
      </w:r>
      <w:r>
        <w:t xml:space="preserve"> a smlouvy o výrobě pro vývoz</w:t>
      </w:r>
      <w:r w:rsidRPr="003C7E41">
        <w:t xml:space="preserve">, a na kterou EGAP získal zajištění u jiné ECA nebo komerční zajišťovny, se z propočtu </w:t>
      </w:r>
      <w:r>
        <w:t xml:space="preserve">českého </w:t>
      </w:r>
      <w:r w:rsidRPr="003C7E41">
        <w:t>podílu dle odstavc</w:t>
      </w:r>
      <w:r>
        <w:t>ů</w:t>
      </w:r>
      <w:r w:rsidRPr="003C7E41">
        <w:t xml:space="preserve"> </w:t>
      </w:r>
      <w:r>
        <w:t>1</w:t>
      </w:r>
      <w:r w:rsidRPr="003C7E41">
        <w:t>.</w:t>
      </w:r>
      <w:r>
        <w:t xml:space="preserve"> a 4.</w:t>
      </w:r>
      <w:r w:rsidRPr="003C7E41">
        <w:t xml:space="preserve"> zcela vylučuje,</w:t>
      </w:r>
    </w:p>
    <w:p w:rsidR="007E01DF" w:rsidRPr="003C7E41" w:rsidRDefault="007E01DF" w:rsidP="007E01DF">
      <w:pPr>
        <w:pStyle w:val="slovn2"/>
        <w:numPr>
          <w:ilvl w:val="0"/>
          <w:numId w:val="33"/>
        </w:numPr>
        <w:ind w:left="1276" w:hanging="567"/>
        <w:jc w:val="both"/>
      </w:pPr>
      <w:r w:rsidRPr="003C7E41">
        <w:t>v případě pojištění vývozního úvěru, je-li vývoz</w:t>
      </w:r>
      <w:r>
        <w:t xml:space="preserve">, </w:t>
      </w:r>
      <w:r w:rsidRPr="003C7E41">
        <w:t xml:space="preserve">financován vícezdrojově, se subdodávka ze zahraničí, která je součástí smlouvy o vývozu, a která je financována bez státní podpory vývozu </w:t>
      </w:r>
      <w:r>
        <w:t>podle zákona č. 58/1995 Sb.</w:t>
      </w:r>
      <w:r w:rsidRPr="003C7E41">
        <w:t xml:space="preserve">, z propočtu </w:t>
      </w:r>
      <w:r>
        <w:t xml:space="preserve">českého </w:t>
      </w:r>
      <w:r w:rsidRPr="003C7E41">
        <w:t xml:space="preserve">podílu dle odstavce </w:t>
      </w:r>
      <w:r>
        <w:t>1</w:t>
      </w:r>
      <w:r w:rsidRPr="003C7E41">
        <w:t>.</w:t>
      </w:r>
      <w:r>
        <w:t xml:space="preserve"> a 3.</w:t>
      </w:r>
      <w:r w:rsidRPr="003C7E41">
        <w:t xml:space="preserve"> zcela vylučuje, </w:t>
      </w:r>
    </w:p>
    <w:p w:rsidR="007E01DF" w:rsidRDefault="007E01DF" w:rsidP="007E01DF">
      <w:pPr>
        <w:pStyle w:val="slovn2"/>
        <w:numPr>
          <w:ilvl w:val="0"/>
          <w:numId w:val="33"/>
        </w:numPr>
        <w:ind w:left="1276" w:hanging="567"/>
        <w:jc w:val="both"/>
      </w:pPr>
      <w:r w:rsidRPr="003C7E41">
        <w:t>v případě pojištění bankovní záruky, je-li zahraniční subdodávka kryta protizárukou, se tato subdodávka z propočtu</w:t>
      </w:r>
      <w:r>
        <w:t xml:space="preserve"> českého </w:t>
      </w:r>
      <w:r w:rsidRPr="003C7E41">
        <w:t xml:space="preserve">podílu dle odstavce </w:t>
      </w:r>
      <w:r>
        <w:t>1</w:t>
      </w:r>
      <w:r w:rsidRPr="003C7E41">
        <w:t>.</w:t>
      </w:r>
      <w:r>
        <w:t xml:space="preserve"> a 3</w:t>
      </w:r>
      <w:r w:rsidRPr="003C7E41">
        <w:t xml:space="preserve"> zcela vylučuje</w:t>
      </w:r>
    </w:p>
    <w:p w:rsidR="007E01DF" w:rsidRPr="003C7E41" w:rsidRDefault="007E01DF" w:rsidP="007E01DF">
      <w:pPr>
        <w:pStyle w:val="slovn2"/>
        <w:numPr>
          <w:ilvl w:val="0"/>
          <w:numId w:val="33"/>
        </w:numPr>
        <w:ind w:left="1276" w:hanging="567"/>
        <w:jc w:val="both"/>
      </w:pPr>
      <w:r>
        <w:t>hodnota pojistného EGAP se z propočtu českého podílu dle odstavce 1. a 3. vylučuje</w:t>
      </w:r>
      <w:r w:rsidRPr="003C7E41">
        <w:t>.</w:t>
      </w:r>
    </w:p>
    <w:p w:rsidR="007E01DF" w:rsidRPr="003C7E41" w:rsidRDefault="007E01DF" w:rsidP="007E01DF">
      <w:pPr>
        <w:pStyle w:val="slovn"/>
        <w:jc w:val="both"/>
      </w:pPr>
      <w:r w:rsidRPr="003C7E41">
        <w:t xml:space="preserve">Subdodávky, které </w:t>
      </w:r>
      <w:r>
        <w:t>vývozce, výrobce</w:t>
      </w:r>
      <w:r w:rsidRPr="003C7E41">
        <w:t xml:space="preserve"> nebo jeho český subdodavatel nakoupí ze zahraničí, a které nesplňují podmínky uvedené v odstavci </w:t>
      </w:r>
      <w:r>
        <w:t>5</w:t>
      </w:r>
      <w:r w:rsidRPr="003C7E41">
        <w:t xml:space="preserve">. </w:t>
      </w:r>
      <w:r>
        <w:t>tak</w:t>
      </w:r>
      <w:r w:rsidRPr="003C7E41">
        <w:t xml:space="preserve">, aby mohly být považovány za českého původu, nebo které nejsou z propočtu podílu zboží a služeb vyloučeny dle podmínek v odstavci </w:t>
      </w:r>
      <w:r>
        <w:t>5</w:t>
      </w:r>
      <w:r w:rsidRPr="003C7E41">
        <w:t xml:space="preserve">., jsou pro účely propočtu podílu zboží a služeb považovány za zahraniční subdodávky. </w:t>
      </w:r>
    </w:p>
    <w:p w:rsidR="007E01DF" w:rsidRDefault="007E01DF" w:rsidP="007E01DF">
      <w:pPr>
        <w:pStyle w:val="slovn"/>
        <w:jc w:val="both"/>
      </w:pPr>
      <w:r w:rsidRPr="003C7E41">
        <w:t xml:space="preserve">Ustanovení o subdodávkách ze zahraničí dle odstavce </w:t>
      </w:r>
      <w:r>
        <w:t>5.</w:t>
      </w:r>
      <w:r w:rsidRPr="003C7E41">
        <w:t xml:space="preserve"> písm. </w:t>
      </w:r>
      <w:proofErr w:type="spellStart"/>
      <w:r w:rsidRPr="003C7E41">
        <w:t>iv</w:t>
      </w:r>
      <w:proofErr w:type="spellEnd"/>
      <w:r w:rsidRPr="003C7E41">
        <w:t xml:space="preserve">) se nevztahují na subdodávky, které </w:t>
      </w:r>
      <w:r>
        <w:t>vývozce</w:t>
      </w:r>
      <w:r w:rsidRPr="003C7E41">
        <w:t xml:space="preserve"> nakoupí od subdodavatelů v cílové zemi vývozu. Takové subdodávky představují místní náklady („</w:t>
      </w:r>
      <w:proofErr w:type="spellStart"/>
      <w:r w:rsidRPr="003C7E41">
        <w:t>local</w:t>
      </w:r>
      <w:proofErr w:type="spellEnd"/>
      <w:r w:rsidRPr="003C7E41">
        <w:t xml:space="preserve"> </w:t>
      </w:r>
      <w:proofErr w:type="spellStart"/>
      <w:r w:rsidRPr="003C7E41">
        <w:t>costs</w:t>
      </w:r>
      <w:proofErr w:type="spellEnd"/>
      <w:r w:rsidRPr="003C7E41">
        <w:t xml:space="preserve">“) a vztahují se na ně příslušná ustanovení Konsensu OECD. </w:t>
      </w:r>
    </w:p>
    <w:p w:rsidR="007E01DF" w:rsidRDefault="007E01DF" w:rsidP="007E01DF">
      <w:pPr>
        <w:pStyle w:val="slovn"/>
        <w:numPr>
          <w:ilvl w:val="0"/>
          <w:numId w:val="0"/>
        </w:numPr>
        <w:ind w:left="360"/>
        <w:jc w:val="both"/>
      </w:pPr>
      <w:r>
        <w:t>Pokud je subdodavatelem některého zboží nebo služeb přímo zahraniční společnost (tj. tyto práce jsou prováděny jejími kmenovými zaměstnanci, nikoli jejími subdodavateli), jsou tyto považovány za českého původu.</w:t>
      </w:r>
    </w:p>
    <w:p w:rsidR="007E01DF" w:rsidRPr="003C7E41" w:rsidRDefault="007E01DF" w:rsidP="007E01DF">
      <w:pPr>
        <w:pStyle w:val="slovn"/>
        <w:jc w:val="both"/>
      </w:pPr>
      <w:r>
        <w:lastRenderedPageBreak/>
        <w:t xml:space="preserve">Maximální výše státem podpořeného financování místních nákladů je dle Konsensu OECD určena jako 30 % Export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s tím, že má-li uvedené financování činit více než 15 % z Export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Value</w:t>
      </w:r>
      <w:proofErr w:type="spellEnd"/>
      <w:r>
        <w:t>, je nezbytná předchozí notifikace OECD.</w:t>
      </w:r>
      <w:r>
        <w:rPr>
          <w:rStyle w:val="Znakapoznpodarou"/>
        </w:rPr>
        <w:footnoteReference w:id="2"/>
      </w:r>
    </w:p>
    <w:p w:rsidR="007E01DF" w:rsidRPr="003C7E41" w:rsidRDefault="007E01DF" w:rsidP="007E01DF">
      <w:pPr>
        <w:pStyle w:val="slovn"/>
        <w:jc w:val="both"/>
      </w:pPr>
      <w:r w:rsidRPr="003C7E41">
        <w:t xml:space="preserve">Výjimky z opatření uvedeného v odstavci </w:t>
      </w:r>
      <w:r>
        <w:t>1</w:t>
      </w:r>
      <w:r w:rsidRPr="003C7E41">
        <w:t>.</w:t>
      </w:r>
      <w:r>
        <w:t xml:space="preserve"> a 4</w:t>
      </w:r>
      <w:r w:rsidRPr="003C7E41">
        <w:t>. lze poskytnout, budou-li současně splněny následující podmínky:</w:t>
      </w:r>
    </w:p>
    <w:p w:rsidR="007E01DF" w:rsidRPr="003C7E41" w:rsidRDefault="007E01DF" w:rsidP="007E01DF">
      <w:pPr>
        <w:pStyle w:val="slovn2"/>
        <w:numPr>
          <w:ilvl w:val="0"/>
          <w:numId w:val="27"/>
        </w:numPr>
        <w:jc w:val="both"/>
      </w:pPr>
      <w:r>
        <w:t>vývozce či výrobce</w:t>
      </w:r>
      <w:r w:rsidRPr="003C7E41">
        <w:t xml:space="preserve"> písemně prohlásí, že nemůže v důsledku parametrů vývozního případu splnit dodávku ekvivalentním zbožím ve srovnatelné ceně od českého výrobce (výrobce podle konkrétní situace uvede, že daný výrobek není v</w:t>
      </w:r>
      <w:r>
        <w:t> </w:t>
      </w:r>
      <w:r w:rsidRPr="003C7E41">
        <w:t>Č</w:t>
      </w:r>
      <w:r>
        <w:t>eské republice</w:t>
      </w:r>
      <w:r w:rsidRPr="003C7E41">
        <w:t xml:space="preserve"> vyráběn nebo doloží konkurenčními cenovými nabídkami výhodnost zahraničního subdodavatele oproti českému nebo u cenově srovnatelných výrobců vysvětlí kvalitativní výhodu zahraničního subdodavatele</w:t>
      </w:r>
      <w:r>
        <w:t>,</w:t>
      </w:r>
      <w:r w:rsidRPr="003C7E41">
        <w:t xml:space="preserve"> </w:t>
      </w:r>
      <w:r>
        <w:t xml:space="preserve">faktor dopravních nákladů </w:t>
      </w:r>
      <w:r w:rsidRPr="003C7E41">
        <w:t xml:space="preserve">apod.), </w:t>
      </w:r>
    </w:p>
    <w:p w:rsidR="007E01DF" w:rsidRPr="003C7E41" w:rsidRDefault="007E01DF" w:rsidP="007E01DF">
      <w:pPr>
        <w:pStyle w:val="slovn2"/>
        <w:numPr>
          <w:ilvl w:val="0"/>
          <w:numId w:val="27"/>
        </w:numPr>
        <w:jc w:val="both"/>
      </w:pPr>
      <w:r>
        <w:t xml:space="preserve">v případě pojištění vývozních úvěrů dle Konsensu OECD </w:t>
      </w:r>
      <w:r w:rsidRPr="003C7E41">
        <w:t>podíl místních dodávek v zemi dovozce financovaných pojištěným vývozním úvěrem bude odpovídat pravidlům Konsensu OECD ohledně místních nákladů</w:t>
      </w:r>
      <w:r>
        <w:t>, jak je uvedeno v odstavci 7.</w:t>
      </w:r>
    </w:p>
    <w:p w:rsidR="007E01DF" w:rsidRPr="003C7E41" w:rsidRDefault="007E01DF" w:rsidP="007E01DF">
      <w:pPr>
        <w:pStyle w:val="slovn"/>
        <w:jc w:val="both"/>
      </w:pPr>
      <w:r w:rsidRPr="003C7E41">
        <w:t xml:space="preserve">Výjimku dle odstavce </w:t>
      </w:r>
      <w:r>
        <w:t>9</w:t>
      </w:r>
      <w:r w:rsidRPr="003C7E41">
        <w:t>. nelze poskytnout, pokud by byl podíl dodávek zboží a služeb českého původu na celkových dodávkách podle smlouvy o vývozu</w:t>
      </w:r>
      <w:r>
        <w:t xml:space="preserve"> nebo smlouvy o výrobě pro vývoz,</w:t>
      </w:r>
      <w:r w:rsidRPr="003C7E41">
        <w:t xml:space="preserve"> nižší než 20 % hodnoty vývozu. </w:t>
      </w:r>
    </w:p>
    <w:p w:rsidR="007E01DF" w:rsidRPr="003C7E41" w:rsidRDefault="007E01DF" w:rsidP="007E01DF">
      <w:pPr>
        <w:pStyle w:val="slovn"/>
        <w:jc w:val="both"/>
      </w:pPr>
      <w:r w:rsidRPr="003C7E41">
        <w:t>O schválení výjimky sníženého českého podílu rozhoduje vždy představenstvo EGAP</w:t>
      </w:r>
      <w:r>
        <w:t xml:space="preserve"> nejpozději při schvalování poskytnutí pojištění, resp. před schvalováním poskytnutí, není-li představenstvo EGAP schvalovacím orgánem</w:t>
      </w:r>
      <w:r>
        <w:rPr>
          <w:rStyle w:val="Znakapoznpodarou"/>
        </w:rPr>
        <w:footnoteReference w:id="3"/>
      </w:r>
      <w:r w:rsidRPr="003C7E41">
        <w:t>. Při svém rozhodování bere v úvahu zejména:</w:t>
      </w:r>
    </w:p>
    <w:p w:rsidR="007E01DF" w:rsidRPr="003C7E41" w:rsidRDefault="007E01DF" w:rsidP="007E01DF">
      <w:pPr>
        <w:pStyle w:val="slovn2"/>
        <w:numPr>
          <w:ilvl w:val="0"/>
          <w:numId w:val="28"/>
        </w:numPr>
        <w:jc w:val="both"/>
      </w:pPr>
      <w:r w:rsidRPr="003C7E41">
        <w:t>zda se jedná o významnou referenční zakázku,</w:t>
      </w:r>
    </w:p>
    <w:p w:rsidR="007E01DF" w:rsidRPr="003C7E41" w:rsidRDefault="007E01DF" w:rsidP="007E01DF">
      <w:pPr>
        <w:pStyle w:val="slovn2"/>
        <w:numPr>
          <w:ilvl w:val="0"/>
          <w:numId w:val="28"/>
        </w:numPr>
        <w:jc w:val="both"/>
      </w:pPr>
      <w:r w:rsidRPr="003C7E41">
        <w:t xml:space="preserve">zda se jedná o </w:t>
      </w:r>
      <w:r>
        <w:t>vývozce či výrobce</w:t>
      </w:r>
      <w:r w:rsidRPr="003C7E41">
        <w:t xml:space="preserve"> s historií většího množství pojištěných obchodních případů, u kterých problémy s</w:t>
      </w:r>
      <w:r>
        <w:t xml:space="preserve"> dodržováním deklarovaného </w:t>
      </w:r>
      <w:r w:rsidRPr="003C7E41">
        <w:t>česk</w:t>
      </w:r>
      <w:r>
        <w:t>ého</w:t>
      </w:r>
      <w:r w:rsidRPr="003C7E41">
        <w:t xml:space="preserve"> podíl</w:t>
      </w:r>
      <w:r>
        <w:t>u</w:t>
      </w:r>
      <w:r w:rsidRPr="003C7E41">
        <w:t xml:space="preserve"> dosud nebyly, </w:t>
      </w:r>
    </w:p>
    <w:p w:rsidR="007E01DF" w:rsidRPr="003C7E41" w:rsidRDefault="007E01DF" w:rsidP="007E01DF">
      <w:pPr>
        <w:pStyle w:val="slovn2"/>
        <w:numPr>
          <w:ilvl w:val="0"/>
          <w:numId w:val="28"/>
        </w:numPr>
        <w:jc w:val="both"/>
      </w:pPr>
      <w:r w:rsidRPr="003C7E41">
        <w:t xml:space="preserve">zda nabízejí zahraniční subdodavatelé oproti českým </w:t>
      </w:r>
      <w:r>
        <w:t xml:space="preserve">subdodavatelům </w:t>
      </w:r>
      <w:r w:rsidRPr="003C7E41">
        <w:t>objektivní výhody ve formě nižší ceny nebo významně vyšší kvality,</w:t>
      </w:r>
    </w:p>
    <w:p w:rsidR="007E01DF" w:rsidRDefault="007E01DF" w:rsidP="007E01DF">
      <w:pPr>
        <w:pStyle w:val="slovn2"/>
        <w:numPr>
          <w:ilvl w:val="0"/>
          <w:numId w:val="28"/>
        </w:numPr>
        <w:jc w:val="both"/>
      </w:pPr>
      <w:r w:rsidRPr="003C7E41">
        <w:t>zda se jedná z pohledu EGAP o více či méně rizikový obchodní případ (bonita dlužníka, teritoriální riziko, odvětví, složitost struktury obchodního případu, kvalita zajištění apod.)</w:t>
      </w:r>
      <w:r>
        <w:t>,</w:t>
      </w:r>
    </w:p>
    <w:p w:rsidR="007E01DF" w:rsidRDefault="007E01DF" w:rsidP="007E01DF">
      <w:pPr>
        <w:pStyle w:val="slovn2"/>
        <w:numPr>
          <w:ilvl w:val="0"/>
          <w:numId w:val="28"/>
        </w:numPr>
        <w:jc w:val="both"/>
      </w:pPr>
      <w:r>
        <w:t>zda je celkově nižší český podíl částečně kompenzován vývozem zboží či služeb s vysokou přidanou hodnotou (projekční práce, šéfmontáž, specializovaná výroba apod.),</w:t>
      </w:r>
    </w:p>
    <w:p w:rsidR="007E01DF" w:rsidRDefault="007E01DF" w:rsidP="007E01DF">
      <w:pPr>
        <w:pStyle w:val="slovn2"/>
        <w:numPr>
          <w:ilvl w:val="0"/>
          <w:numId w:val="28"/>
        </w:numPr>
        <w:jc w:val="both"/>
      </w:pPr>
      <w:r>
        <w:t>zda je možno doložit, že jeden či více zahraničních subdodavatelů nakupuje či nakupují významný objem zboží či služeb od dalších českých firem,</w:t>
      </w:r>
    </w:p>
    <w:p w:rsidR="007E01DF" w:rsidRPr="003C7E41" w:rsidRDefault="007E01DF" w:rsidP="007E01DF">
      <w:pPr>
        <w:pStyle w:val="slovn2"/>
        <w:numPr>
          <w:ilvl w:val="0"/>
          <w:numId w:val="28"/>
        </w:numPr>
        <w:jc w:val="both"/>
      </w:pPr>
      <w:r>
        <w:t>odvětvové hledisko, kdy je u různých typů dodávek (technologická zařízení a investiční celky, infrastrukturální projekty, developerské projekty apod.) objektivně rozdílný rozsah místních nákladů vynaložených na stavební práce a nákup materiálu, které není z hlediska dopravních nákladů možno vyvážet z České republiky</w:t>
      </w:r>
      <w:r w:rsidRPr="003C7E41">
        <w:t>.</w:t>
      </w:r>
    </w:p>
    <w:p w:rsidR="007E01DF" w:rsidRDefault="007E01DF" w:rsidP="007E01DF">
      <w:pPr>
        <w:pStyle w:val="slovn"/>
        <w:jc w:val="both"/>
      </w:pPr>
      <w:r w:rsidRPr="003C7E41">
        <w:t>Nesplňuje-li vývoz</w:t>
      </w:r>
      <w:r>
        <w:t xml:space="preserve"> nebo výroba pro vývoz</w:t>
      </w:r>
      <w:r w:rsidRPr="003C7E41">
        <w:t xml:space="preserve"> požadovaný český podíl ani kritéria pro poskytnutí výjimky dle odstavců </w:t>
      </w:r>
      <w:r>
        <w:t>9</w:t>
      </w:r>
      <w:r w:rsidRPr="003C7E41">
        <w:t xml:space="preserve">. až </w:t>
      </w:r>
      <w:r>
        <w:t>11</w:t>
      </w:r>
      <w:r w:rsidRPr="003C7E41">
        <w:t>., pojištění se státní podporou nebude poskytnuto.</w:t>
      </w:r>
    </w:p>
    <w:p w:rsidR="007E01DF" w:rsidRDefault="007E01DF" w:rsidP="007E01DF">
      <w:pPr>
        <w:pStyle w:val="slovn"/>
        <w:jc w:val="both"/>
      </w:pPr>
      <w:r w:rsidRPr="003C7E41">
        <w:t xml:space="preserve">Pokud </w:t>
      </w:r>
      <w:r>
        <w:t>po uzavření pojistné smlouvy, resp. Smlouvy o úpravě vztahů s vývozcem/výrobcem</w:t>
      </w:r>
      <w:r>
        <w:t xml:space="preserve"> (případně Prohlášení vývozce o podílu hodnoty vývozu)</w:t>
      </w:r>
      <w:r>
        <w:t xml:space="preserve">, </w:t>
      </w:r>
      <w:r w:rsidRPr="003C7E41">
        <w:t xml:space="preserve">během realizace smlouvy o vývozu </w:t>
      </w:r>
      <w:r>
        <w:t xml:space="preserve">nebo smlouvy o výrobě pro vývoz </w:t>
      </w:r>
      <w:r w:rsidRPr="003C7E41">
        <w:t>dojde ke snížení českého podílu a tento klesne pod minimální rozsah stanovený v odstavc</w:t>
      </w:r>
      <w:r>
        <w:t>ích</w:t>
      </w:r>
      <w:r w:rsidRPr="003C7E41">
        <w:t xml:space="preserve"> 1.</w:t>
      </w:r>
      <w:r>
        <w:t xml:space="preserve"> a 4. nebo odstavcích 9. až 11.</w:t>
      </w:r>
      <w:r w:rsidRPr="003C7E41">
        <w:t xml:space="preserve">, musí </w:t>
      </w:r>
      <w:r>
        <w:t>vývozce či výrobce</w:t>
      </w:r>
      <w:r w:rsidRPr="003C7E41">
        <w:t xml:space="preserve"> tuto změnu EGAP bez zbytečných odkladů oznámit, řádně zdůvodnit a požádat o </w:t>
      </w:r>
      <w:r>
        <w:t>výjimku EGAP</w:t>
      </w:r>
      <w:r w:rsidRPr="003C7E41">
        <w:t>.</w:t>
      </w:r>
    </w:p>
    <w:p w:rsidR="007E01DF" w:rsidRDefault="007E01DF" w:rsidP="007E01DF">
      <w:pPr>
        <w:pStyle w:val="slovn"/>
        <w:jc w:val="both"/>
      </w:pPr>
      <w:r w:rsidRPr="009A51DF">
        <w:t xml:space="preserve">Bude-li v souladu s ustanoveními odstavců </w:t>
      </w:r>
      <w:r>
        <w:t>9</w:t>
      </w:r>
      <w:r w:rsidRPr="009A51DF">
        <w:t>. až 1</w:t>
      </w:r>
      <w:r>
        <w:t>1</w:t>
      </w:r>
      <w:r w:rsidRPr="009A51DF">
        <w:t xml:space="preserve">. představenstvem EGAP schválena výjimka sníženého českého podílu, bude současně upravena výše pojistného pro daný obchodní případ, resp. pro příslušnou pojistnou smlouvu, a to tak, že výše pojistného vypočteného obvyklým způsobem (v závislosti na rozsahu pojištěného rizika, ohodnocení charakteru a rizikovosti </w:t>
      </w:r>
      <w:r w:rsidRPr="009A51DF">
        <w:lastRenderedPageBreak/>
        <w:t>příslušného obchodního případu, délce zahrnující čerpání i splácení a výši spoluúčasti) bude podle procenta schválené výjimky sníženého českého podílu v rozsahu 50 až 20 % lineárním způsobem navýšena až o 30 % pojistného vypočteného obvyklým způsobem (v případě schválení výjimky českého podílu na úrovni 20 %).</w:t>
      </w:r>
    </w:p>
    <w:p w:rsidR="007E01DF" w:rsidRDefault="007E01DF" w:rsidP="007E01DF">
      <w:pPr>
        <w:pStyle w:val="slovn"/>
        <w:jc w:val="both"/>
      </w:pPr>
      <w:r>
        <w:t>S</w:t>
      </w:r>
      <w:r w:rsidRPr="00F9556A">
        <w:t>levy na pojistném</w:t>
      </w:r>
      <w:r>
        <w:t>, jejichž poskytnutí je možné</w:t>
      </w:r>
      <w:r w:rsidRPr="00F9556A">
        <w:t xml:space="preserve"> dle Příkazu č. 153</w:t>
      </w:r>
      <w:r w:rsidRPr="00F9556A">
        <w:rPr>
          <w:vertAlign w:val="superscript"/>
        </w:rPr>
        <w:footnoteReference w:id="4"/>
      </w:r>
      <w:r w:rsidRPr="00F9556A">
        <w:t xml:space="preserve"> až do maximální výše 35 %</w:t>
      </w:r>
      <w:r>
        <w:t>, a to v případech</w:t>
      </w:r>
      <w:r w:rsidRPr="00F9556A">
        <w:t xml:space="preserve"> postoupení výnosů nebo</w:t>
      </w:r>
      <w:r>
        <w:t xml:space="preserve"> pohledávek ze smlouvy o vývozu</w:t>
      </w:r>
      <w:r w:rsidRPr="00F9556A">
        <w:t xml:space="preserve">, zajištění aktivy, zajištění stálými aktivy či podmíněným účtem, </w:t>
      </w:r>
      <w:r>
        <w:t xml:space="preserve">mohou být poskytnuty pouze tehdy, když </w:t>
      </w:r>
      <w:r w:rsidRPr="00F9556A">
        <w:t>česk</w:t>
      </w:r>
      <w:r>
        <w:t>ý</w:t>
      </w:r>
      <w:r w:rsidRPr="00F9556A">
        <w:t xml:space="preserve"> podíl </w:t>
      </w:r>
      <w:r>
        <w:t>přesáhne</w:t>
      </w:r>
      <w:r w:rsidRPr="00F9556A">
        <w:t xml:space="preserve"> 50 %. Kromě posouzení kvality zajišťovacího instrumentu bude </w:t>
      </w:r>
      <w:r>
        <w:t xml:space="preserve">tedy </w:t>
      </w:r>
      <w:r w:rsidRPr="00F9556A">
        <w:t>při udělení slevy též př</w:t>
      </w:r>
      <w:r>
        <w:t xml:space="preserve">ihlíženo k míře překročení </w:t>
      </w:r>
      <w:r w:rsidRPr="00F9556A">
        <w:t>českého podílu na</w:t>
      </w:r>
      <w:r>
        <w:t>d minimální výši, tj.</w:t>
      </w:r>
      <w:r w:rsidRPr="00F9556A">
        <w:t xml:space="preserve"> 50</w:t>
      </w:r>
      <w:r>
        <w:t xml:space="preserve"> </w:t>
      </w:r>
      <w:r w:rsidRPr="00F9556A">
        <w:t>%</w:t>
      </w:r>
      <w:r>
        <w:t>,</w:t>
      </w:r>
      <w:r w:rsidRPr="00F9556A">
        <w:t xml:space="preserve"> s cílem bonifikace za maximalizaci českého podílu</w:t>
      </w:r>
      <w:r>
        <w:t>. S</w:t>
      </w:r>
      <w:r w:rsidRPr="00F9556A">
        <w:t> ohledem na nutnou notifikaci dle Konsensu OECD</w:t>
      </w:r>
      <w:r>
        <w:rPr>
          <w:vertAlign w:val="superscript"/>
        </w:rPr>
        <w:t>2</w:t>
      </w:r>
      <w:r w:rsidRPr="00F9556A">
        <w:t xml:space="preserve"> budou tyto slevy představenstvem EGAP schvalovány při schvalování poskytnutí pojištění, resp. před schvalováním poskytnutí, není-li představenstvo EGAP schvalovacím orgánem</w:t>
      </w:r>
      <w:r>
        <w:rPr>
          <w:vertAlign w:val="superscript"/>
        </w:rPr>
        <w:t>3</w:t>
      </w:r>
      <w:r>
        <w:t>,</w:t>
      </w:r>
      <w:r w:rsidRPr="00F9556A">
        <w:t xml:space="preserve"> </w:t>
      </w:r>
      <w:r>
        <w:t xml:space="preserve">a to </w:t>
      </w:r>
      <w:r w:rsidRPr="00F9556A">
        <w:t>pouze ve výjimečných případech, které budou podstatným způsobem naplňovat kritéria národního zájmu Česk</w:t>
      </w:r>
      <w:r>
        <w:t>é republiky uvedená v odstavci 4</w:t>
      </w:r>
      <w:r w:rsidRPr="00F9556A">
        <w:t>.</w:t>
      </w:r>
    </w:p>
    <w:p w:rsidR="007E01DF" w:rsidRPr="00F9556A" w:rsidRDefault="007E01DF" w:rsidP="007E01DF">
      <w:pPr>
        <w:pStyle w:val="slovn"/>
        <w:jc w:val="both"/>
      </w:pPr>
      <w:r w:rsidRPr="00F9556A">
        <w:t xml:space="preserve">V případě překročení minimálního </w:t>
      </w:r>
      <w:r>
        <w:t xml:space="preserve">výše </w:t>
      </w:r>
      <w:r w:rsidRPr="00F9556A">
        <w:t>českého podílu</w:t>
      </w:r>
      <w:r>
        <w:t>, tj. 50 %,</w:t>
      </w:r>
      <w:r w:rsidRPr="00F9556A">
        <w:t xml:space="preserve"> o 20 % </w:t>
      </w:r>
      <w:r>
        <w:t xml:space="preserve">a za předpokladu předcházející pozitivní zkušenosti EGAP s příslušným vývozcem, resp. výrobcem, tj. když v průběhu předcházejících minimálně 5 let nedošlo u žádného obchodního případu, u něhož byl příslušný vývozce, resp. výrobce jedním ze subjektů, k pojistné události, výraznému zpoždění realizace obchodního případu, problémům se splácením pojištěného úvěru, nucené restrukturalizaci, problémům s naplněním předem deklarovaného českého podílu apod., </w:t>
      </w:r>
      <w:r w:rsidRPr="00F9556A">
        <w:t>může být pojištěnému nabídnuto zvýšené procento pojistného krytí</w:t>
      </w:r>
      <w:r>
        <w:t>, a to</w:t>
      </w:r>
      <w:r w:rsidRPr="00F9556A">
        <w:t xml:space="preserve"> o 1 % </w:t>
      </w:r>
      <w:r>
        <w:t xml:space="preserve">v případě dosažení českého podílu ve výši 70 %, </w:t>
      </w:r>
      <w:r w:rsidRPr="00F9556A">
        <w:t>a dále zvýšení o 1 % pojistného krytí za každých dalších 10 % českého podílu</w:t>
      </w:r>
      <w:r>
        <w:t xml:space="preserve"> nad výši 70 %</w:t>
      </w:r>
      <w:r w:rsidRPr="00F9556A">
        <w:t xml:space="preserve">.  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360"/>
        <w:jc w:val="both"/>
      </w:pPr>
    </w:p>
    <w:p w:rsidR="007E01DF" w:rsidRPr="003C7E41" w:rsidRDefault="007E01DF" w:rsidP="007E01DF">
      <w:pPr>
        <w:pStyle w:val="Nadpis3"/>
        <w:numPr>
          <w:ilvl w:val="0"/>
          <w:numId w:val="37"/>
        </w:numPr>
        <w:spacing w:before="120" w:line="240" w:lineRule="atLeast"/>
        <w:contextualSpacing w:val="0"/>
      </w:pPr>
      <w:bookmarkStart w:id="2" w:name="_Toc368648888"/>
      <w:r w:rsidRPr="003C7E41">
        <w:t>Sankce a opatření</w:t>
      </w:r>
      <w:bookmarkEnd w:id="2"/>
      <w:r w:rsidRPr="00DE5749">
        <w:t xml:space="preserve"> </w:t>
      </w:r>
    </w:p>
    <w:p w:rsidR="007E01DF" w:rsidRPr="003C7E41" w:rsidRDefault="007E01DF" w:rsidP="007E01DF">
      <w:pPr>
        <w:pStyle w:val="Odstavecseseznamem"/>
        <w:ind w:left="426"/>
        <w:rPr>
          <w:rFonts w:ascii="Arial" w:hAnsi="Arial" w:cs="Arial"/>
          <w:b/>
          <w:szCs w:val="24"/>
        </w:rPr>
      </w:pPr>
    </w:p>
    <w:p w:rsidR="007E01DF" w:rsidRPr="00916343" w:rsidRDefault="007E01DF" w:rsidP="007E01DF">
      <w:pPr>
        <w:pStyle w:val="slovn"/>
        <w:numPr>
          <w:ilvl w:val="0"/>
          <w:numId w:val="0"/>
        </w:numPr>
        <w:ind w:left="360" w:hanging="360"/>
        <w:jc w:val="both"/>
      </w:pPr>
      <w:r w:rsidRPr="00916343">
        <w:t>1.</w:t>
      </w:r>
      <w:r w:rsidRPr="00916343">
        <w:tab/>
        <w:t>Představenstvo EGAP může, pokud po uzavření pojistné smlouvy:</w:t>
      </w:r>
    </w:p>
    <w:p w:rsidR="007E01DF" w:rsidRPr="00916343" w:rsidRDefault="007E01DF" w:rsidP="007E01DF">
      <w:pPr>
        <w:pStyle w:val="slovn2"/>
        <w:numPr>
          <w:ilvl w:val="0"/>
          <w:numId w:val="0"/>
        </w:numPr>
        <w:ind w:left="720" w:hanging="360"/>
        <w:jc w:val="both"/>
      </w:pPr>
      <w:r w:rsidRPr="00916343">
        <w:t xml:space="preserve">a) </w:t>
      </w:r>
      <w:r w:rsidRPr="00916343">
        <w:tab/>
        <w:t xml:space="preserve">nebude dodržen deklarovaný český podíl, tj. vývozce či výrobce uvedl v Prohlášení o podílu hodnoty vývozu a v pojistné smlouvě, resp. </w:t>
      </w:r>
      <w:r w:rsidRPr="00916343">
        <w:rPr>
          <w:iCs/>
        </w:rPr>
        <w:t>Smlouvě o úpravě vztahů s vývozcem/výrobcem</w:t>
      </w:r>
      <w:r w:rsidRPr="00916343">
        <w:t xml:space="preserve">, nepravdivé údaje, anebo </w:t>
      </w:r>
    </w:p>
    <w:p w:rsidR="007E01DF" w:rsidRPr="00916343" w:rsidRDefault="007E01DF" w:rsidP="007E01DF">
      <w:pPr>
        <w:pStyle w:val="slovn2"/>
        <w:numPr>
          <w:ilvl w:val="0"/>
          <w:numId w:val="0"/>
        </w:numPr>
        <w:ind w:left="720" w:hanging="360"/>
        <w:jc w:val="both"/>
      </w:pPr>
      <w:r w:rsidRPr="00916343">
        <w:t xml:space="preserve">b) </w:t>
      </w:r>
      <w:r w:rsidRPr="00916343">
        <w:tab/>
        <w:t xml:space="preserve">v průběhu realizace smlouvy o vývozu nebo smlouvy o výrobě pro vývoz došlo ke snížení českého podílu pod hranici uvedenou v Prohlášení o podílu hodnoty vývozu a pojistné smlouvě, resp. </w:t>
      </w:r>
      <w:r w:rsidRPr="00916343">
        <w:rPr>
          <w:iCs/>
        </w:rPr>
        <w:t>Smlouvě o úpravě vztahů s vývozcem/výrobcem</w:t>
      </w:r>
      <w:r w:rsidRPr="00916343">
        <w:t xml:space="preserve">, o více než 5 %, aniž by vývozce či výrobce o tom informoval EGAP a požádal o výjimku, anebo </w:t>
      </w:r>
    </w:p>
    <w:p w:rsidR="007E01DF" w:rsidRPr="003C7E41" w:rsidRDefault="007E01DF" w:rsidP="007E01DF">
      <w:pPr>
        <w:pStyle w:val="slovn2"/>
        <w:numPr>
          <w:ilvl w:val="0"/>
          <w:numId w:val="0"/>
        </w:numPr>
        <w:ind w:left="720" w:hanging="360"/>
        <w:jc w:val="both"/>
      </w:pPr>
      <w:r w:rsidRPr="003C7E41">
        <w:t xml:space="preserve">c) </w:t>
      </w:r>
      <w:r w:rsidRPr="003C7E41">
        <w:tab/>
        <w:t xml:space="preserve">pokud nebude </w:t>
      </w:r>
      <w:r>
        <w:t>vývozce či výrobce</w:t>
      </w:r>
      <w:r w:rsidRPr="003C7E41">
        <w:t xml:space="preserve"> plnit svoje informační povinnosti ve vztahu k reál</w:t>
      </w:r>
      <w:r>
        <w:t>nému naplňování českého podílu,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360"/>
        <w:jc w:val="both"/>
      </w:pPr>
      <w:r w:rsidRPr="003C7E41">
        <w:t>rozhodnout o uplatnění některé</w:t>
      </w:r>
      <w:r>
        <w:t>ho</w:t>
      </w:r>
      <w:r w:rsidRPr="003C7E41">
        <w:t xml:space="preserve"> z následujících opatření</w:t>
      </w:r>
      <w:r>
        <w:t xml:space="preserve"> vůči </w:t>
      </w:r>
      <w:r w:rsidRPr="00894329">
        <w:t>vývozc</w:t>
      </w:r>
      <w:r>
        <w:t>i</w:t>
      </w:r>
      <w:r w:rsidRPr="00894329">
        <w:t xml:space="preserve"> či výrobc</w:t>
      </w:r>
      <w:r>
        <w:t>i</w:t>
      </w:r>
      <w:r w:rsidRPr="003C7E41">
        <w:t>:</w:t>
      </w:r>
    </w:p>
    <w:p w:rsidR="007E01DF" w:rsidRPr="003C7E41" w:rsidRDefault="007E01DF" w:rsidP="007E01DF">
      <w:pPr>
        <w:pStyle w:val="slovn2"/>
        <w:numPr>
          <w:ilvl w:val="0"/>
          <w:numId w:val="29"/>
        </w:numPr>
        <w:jc w:val="both"/>
      </w:pPr>
      <w:r w:rsidRPr="003C7E41">
        <w:t>zpřísnění podmínek (</w:t>
      </w:r>
      <w:r>
        <w:t>např.</w:t>
      </w:r>
      <w:r w:rsidRPr="003C7E41">
        <w:t xml:space="preserve"> informačních povinností</w:t>
      </w:r>
      <w:r>
        <w:t xml:space="preserve"> nebo posouzení možnosti výjimky sníženého českého podílu</w:t>
      </w:r>
      <w:r w:rsidRPr="003C7E41">
        <w:t xml:space="preserve">) ve vztahu k českému podílu u nových obchodních případů, kde bude jedním </w:t>
      </w:r>
      <w:r>
        <w:t xml:space="preserve">ze </w:t>
      </w:r>
      <w:r w:rsidRPr="003C7E41">
        <w:t xml:space="preserve">subjektů </w:t>
      </w:r>
      <w:r>
        <w:t>vývozce či výrobce</w:t>
      </w:r>
      <w:r w:rsidRPr="003C7E41">
        <w:t>,</w:t>
      </w:r>
    </w:p>
    <w:p w:rsidR="007E01DF" w:rsidRPr="003C7E41" w:rsidRDefault="007E01DF" w:rsidP="007E01DF">
      <w:pPr>
        <w:pStyle w:val="slovn2"/>
        <w:numPr>
          <w:ilvl w:val="0"/>
          <w:numId w:val="29"/>
        </w:numPr>
        <w:jc w:val="both"/>
      </w:pPr>
      <w:r>
        <w:t>neposkytnutí dalšího pojištění vývozních úvěrových rizik pro obchodní případ, kde bude výrobce či vývozce jedním ze subjektů</w:t>
      </w:r>
      <w:r w:rsidRPr="003C7E41">
        <w:t>.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360" w:hanging="360"/>
      </w:pPr>
    </w:p>
    <w:p w:rsidR="007E01DF" w:rsidRPr="003C7E41" w:rsidRDefault="007E01DF" w:rsidP="007E01DF">
      <w:pPr>
        <w:pStyle w:val="Nadpis3"/>
        <w:numPr>
          <w:ilvl w:val="0"/>
          <w:numId w:val="37"/>
        </w:numPr>
        <w:spacing w:before="120" w:line="240" w:lineRule="atLeast"/>
        <w:contextualSpacing w:val="0"/>
      </w:pPr>
      <w:bookmarkStart w:id="3" w:name="_Toc368648889"/>
      <w:r w:rsidRPr="003C7E41">
        <w:t xml:space="preserve">Doložení </w:t>
      </w:r>
      <w:r w:rsidRPr="00EA2282">
        <w:t xml:space="preserve">českého </w:t>
      </w:r>
      <w:r w:rsidRPr="003C7E41">
        <w:t>podílu</w:t>
      </w:r>
      <w:bookmarkEnd w:id="3"/>
    </w:p>
    <w:p w:rsidR="007E01DF" w:rsidRPr="003C7E41" w:rsidRDefault="007E01DF" w:rsidP="007E01DF">
      <w:pPr>
        <w:pStyle w:val="Odstavecseseznamem"/>
        <w:ind w:left="426"/>
        <w:rPr>
          <w:rFonts w:ascii="Arial" w:hAnsi="Arial" w:cs="Arial"/>
        </w:rPr>
      </w:pPr>
    </w:p>
    <w:p w:rsidR="007E01DF" w:rsidRDefault="007E01DF" w:rsidP="007E01DF">
      <w:pPr>
        <w:pStyle w:val="slovn"/>
        <w:numPr>
          <w:ilvl w:val="0"/>
          <w:numId w:val="30"/>
        </w:numPr>
        <w:jc w:val="both"/>
      </w:pPr>
      <w:r>
        <w:lastRenderedPageBreak/>
        <w:t>Nejpozději v</w:t>
      </w:r>
      <w:r w:rsidRPr="00EA2282">
        <w:t xml:space="preserve">e </w:t>
      </w:r>
      <w:r w:rsidRPr="003C7E41">
        <w:t xml:space="preserve">fázi </w:t>
      </w:r>
      <w:r>
        <w:t xml:space="preserve">konečného </w:t>
      </w:r>
      <w:r w:rsidRPr="003C7E41">
        <w:t xml:space="preserve">posouzení poskytnutí pojištění předloží </w:t>
      </w:r>
      <w:r w:rsidRPr="00894329">
        <w:t>vývozce či výrobce</w:t>
      </w:r>
      <w:r w:rsidRPr="003C7E41">
        <w:t>, není-li žadatel</w:t>
      </w:r>
      <w:r>
        <w:t>em</w:t>
      </w:r>
      <w:r w:rsidRPr="003C7E41">
        <w:t xml:space="preserve"> o pojištění, pak prostř</w:t>
      </w:r>
      <w:r>
        <w:t xml:space="preserve">ednictvím žadatele o pojištění s výjimkou uvedenou v části V. odstavec 1. bod </w:t>
      </w:r>
      <w:proofErr w:type="spellStart"/>
      <w:r>
        <w:t>iii</w:t>
      </w:r>
      <w:proofErr w:type="spellEnd"/>
      <w:r>
        <w:t>):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709" w:hanging="283"/>
        <w:jc w:val="both"/>
      </w:pPr>
      <w:r>
        <w:t xml:space="preserve">a) </w:t>
      </w:r>
      <w:r w:rsidRPr="003C7E41">
        <w:t xml:space="preserve">strukturovaný přehled cenové kalkulace </w:t>
      </w:r>
      <w:r>
        <w:t>smlouvy o vývozu, resp. smlouvy o výrobě pro vývoz,</w:t>
      </w:r>
      <w:r w:rsidRPr="003C7E41">
        <w:t xml:space="preserve"> s jasným rozdělením na </w:t>
      </w:r>
      <w:r>
        <w:t>následující</w:t>
      </w:r>
      <w:r w:rsidRPr="003C7E41">
        <w:t xml:space="preserve"> kategorie (</w:t>
      </w:r>
      <w:r>
        <w:t xml:space="preserve">dle účelnosti </w:t>
      </w:r>
      <w:r w:rsidRPr="003C7E41">
        <w:t xml:space="preserve">s dalším členěním na jednotlivé položky): </w:t>
      </w:r>
    </w:p>
    <w:p w:rsidR="007E01DF" w:rsidRDefault="007E01DF" w:rsidP="007E01DF">
      <w:pPr>
        <w:pStyle w:val="slovn2"/>
        <w:numPr>
          <w:ilvl w:val="0"/>
          <w:numId w:val="31"/>
        </w:numPr>
        <w:jc w:val="both"/>
      </w:pPr>
      <w:r w:rsidRPr="003C7E41">
        <w:t xml:space="preserve">vlastní dodávky </w:t>
      </w:r>
      <w:r>
        <w:t>a služby vývozce či výrobce včetně ziskové marže</w:t>
      </w:r>
      <w:r w:rsidRPr="003C7E41">
        <w:t>,</w:t>
      </w:r>
    </w:p>
    <w:p w:rsidR="007E01DF" w:rsidRDefault="007E01DF" w:rsidP="007E01DF">
      <w:pPr>
        <w:pStyle w:val="slovn2"/>
        <w:numPr>
          <w:ilvl w:val="0"/>
          <w:numId w:val="31"/>
        </w:numPr>
        <w:jc w:val="both"/>
      </w:pPr>
      <w:r>
        <w:t>české subdodávky zboží a služeb,</w:t>
      </w:r>
    </w:p>
    <w:p w:rsidR="007E01DF" w:rsidRPr="003C7E41" w:rsidRDefault="007E01DF" w:rsidP="007E01DF">
      <w:pPr>
        <w:pStyle w:val="slovn2"/>
        <w:numPr>
          <w:ilvl w:val="0"/>
          <w:numId w:val="31"/>
        </w:numPr>
        <w:jc w:val="both"/>
      </w:pPr>
      <w:r>
        <w:t>dodávky ze třetích zemí zhodnocené v České republice,</w:t>
      </w:r>
    </w:p>
    <w:p w:rsidR="007E01DF" w:rsidRPr="003C7E41" w:rsidRDefault="007E01DF" w:rsidP="007E01DF">
      <w:pPr>
        <w:pStyle w:val="slovn2"/>
        <w:numPr>
          <w:ilvl w:val="0"/>
          <w:numId w:val="31"/>
        </w:numPr>
        <w:jc w:val="both"/>
      </w:pPr>
      <w:r w:rsidRPr="003C7E41">
        <w:t>dodávky ze třetích zemí,</w:t>
      </w:r>
    </w:p>
    <w:p w:rsidR="007E01DF" w:rsidRDefault="007E01DF" w:rsidP="007E01DF">
      <w:pPr>
        <w:pStyle w:val="slovn2"/>
        <w:numPr>
          <w:ilvl w:val="0"/>
          <w:numId w:val="31"/>
        </w:numPr>
        <w:jc w:val="both"/>
      </w:pPr>
      <w:r w:rsidRPr="003C7E41">
        <w:t xml:space="preserve">místní </w:t>
      </w:r>
      <w:r>
        <w:t>náklady</w:t>
      </w:r>
    </w:p>
    <w:p w:rsidR="007E01DF" w:rsidRPr="003C7E41" w:rsidRDefault="007E01DF" w:rsidP="007E01DF">
      <w:pPr>
        <w:ind w:left="360"/>
        <w:jc w:val="both"/>
        <w:rPr>
          <w:rFonts w:cs="Arial"/>
        </w:rPr>
      </w:pPr>
      <w:r>
        <w:rPr>
          <w:rFonts w:cs="Arial"/>
        </w:rPr>
        <w:t>jehož součástí</w:t>
      </w:r>
      <w:r w:rsidRPr="003C7E41">
        <w:rPr>
          <w:rFonts w:cs="Arial"/>
        </w:rPr>
        <w:t xml:space="preserve"> bude </w:t>
      </w:r>
      <w:r>
        <w:rPr>
          <w:rFonts w:cs="Arial"/>
        </w:rPr>
        <w:t>pro</w:t>
      </w:r>
      <w:r w:rsidRPr="003C7E41">
        <w:rPr>
          <w:rFonts w:cs="Arial"/>
        </w:rPr>
        <w:t>počet procenta českého podílu</w:t>
      </w:r>
      <w:r>
        <w:rPr>
          <w:rFonts w:cs="Arial"/>
        </w:rPr>
        <w:t xml:space="preserve"> na hodnotě vývozu či výroby pro vývoz.</w:t>
      </w:r>
    </w:p>
    <w:p w:rsidR="007E01DF" w:rsidRDefault="007E01DF" w:rsidP="007E01DF">
      <w:pPr>
        <w:pStyle w:val="slovn"/>
        <w:numPr>
          <w:ilvl w:val="0"/>
          <w:numId w:val="0"/>
        </w:numPr>
        <w:ind w:left="709" w:hanging="283"/>
        <w:jc w:val="both"/>
      </w:pPr>
      <w:r>
        <w:t xml:space="preserve">b) </w:t>
      </w:r>
      <w:r w:rsidRPr="003C7E41">
        <w:t>přehled známých a předpokládaných hlavních subdodavatelů s uvedením předpokládané ceny jejich dodávek. Pokud nebudou subdodavatelé ještě znám</w:t>
      </w:r>
      <w:r>
        <w:t>i</w:t>
      </w:r>
      <w:r w:rsidRPr="003C7E41">
        <w:t>, bude alespoň uvedeno, kde je předpokládán český</w:t>
      </w:r>
      <w:r>
        <w:t xml:space="preserve"> subdodavatel</w:t>
      </w:r>
      <w:r w:rsidRPr="003C7E41">
        <w:t xml:space="preserve"> a kde zahraniční subdodavatel, popř. seznam těchto potenciálních </w:t>
      </w:r>
      <w:r>
        <w:t>sub</w:t>
      </w:r>
      <w:r w:rsidRPr="003C7E41">
        <w:t xml:space="preserve">dodavatelů. 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426" w:hanging="426"/>
        <w:jc w:val="both"/>
      </w:pPr>
      <w:r>
        <w:tab/>
      </w:r>
      <w:r w:rsidRPr="00777DFD">
        <w:t>V případě, že vyhodnoc</w:t>
      </w:r>
      <w:r w:rsidRPr="00280439">
        <w:t xml:space="preserve">ení českého podílu na první subdodavatelské úrovni nebude dostatečně vypovídající (např. zahraniční subdodavatelé na první subdodavatelské úrovni budou mít české subdodavatele), může být ve výjimečných případech vyžádán </w:t>
      </w:r>
      <w:r>
        <w:t xml:space="preserve">od vývozce, resp. výrobce, </w:t>
      </w:r>
      <w:r w:rsidRPr="00280439">
        <w:t>prostřednictvím žadatele o pojištění, není-li vývozcem, resp. výrobcem,</w:t>
      </w:r>
      <w:r w:rsidRPr="00777DFD">
        <w:t xml:space="preserve"> </w:t>
      </w:r>
      <w:r w:rsidRPr="00280439">
        <w:t>přehled takových dalších subdodavatelů a český podíl bude vyhodnocen i na druhé subdodavatelské úrovni.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426"/>
        <w:jc w:val="both"/>
      </w:pPr>
      <w:r w:rsidRPr="003C7E41">
        <w:t xml:space="preserve">U subdodávek s deklarovaným českým původem bude </w:t>
      </w:r>
      <w:r>
        <w:t>vývozcem či výrobcem</w:t>
      </w:r>
      <w:r w:rsidRPr="003C7E41">
        <w:t xml:space="preserve"> potvrzeno, u kterého českého subdodavatele bude výroba uskutečněna nebo poskytnuty služby. 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426"/>
        <w:jc w:val="both"/>
      </w:pPr>
      <w:r w:rsidRPr="003C7E41">
        <w:t xml:space="preserve">U subdodávek ze zahraničí, které budou deklarovány jako české z titulu jejich zhodnocení v České republice, uvede </w:t>
      </w:r>
      <w:r>
        <w:t>vývozce či výrobce</w:t>
      </w:r>
      <w:r w:rsidRPr="003C7E41">
        <w:t xml:space="preserve"> stručný věcný popis způsobu zhodnocení</w:t>
      </w:r>
      <w:r>
        <w:t xml:space="preserve"> doplněný cenovou kalkulací</w:t>
      </w:r>
      <w:r w:rsidRPr="003C7E41">
        <w:t>.</w:t>
      </w:r>
    </w:p>
    <w:p w:rsidR="007E01DF" w:rsidRPr="003C7E41" w:rsidRDefault="007E01DF" w:rsidP="007E01DF">
      <w:pPr>
        <w:pStyle w:val="slovn"/>
        <w:numPr>
          <w:ilvl w:val="0"/>
          <w:numId w:val="0"/>
        </w:numPr>
        <w:ind w:left="360" w:hanging="360"/>
        <w:jc w:val="both"/>
      </w:pPr>
      <w:r>
        <w:t>2</w:t>
      </w:r>
      <w:r w:rsidRPr="003C7E41">
        <w:t>.</w:t>
      </w:r>
      <w:r w:rsidRPr="003C7E41">
        <w:tab/>
      </w:r>
      <w:r w:rsidRPr="00777DFD">
        <w:t xml:space="preserve">Vstupní </w:t>
      </w:r>
      <w:r w:rsidRPr="00280439">
        <w:t>informace podle odstavce 1. bude vyhodnocena příslušným Obchodníkem, který si podle potřeby může vyžádat doplňující vysvětlení od vývozce či výrobce včetně předložení přehledu uvedeného v odstavci 1., popř. v nutném případě na náklady žadatele o pojištění, resp. vývozce či výrobce,</w:t>
      </w:r>
      <w:r w:rsidRPr="00777DFD">
        <w:t xml:space="preserve"> i stanovisko inspekční společnosti nebo nezávislého znalce.</w:t>
      </w:r>
    </w:p>
    <w:p w:rsidR="007E01DF" w:rsidRPr="003C7E41" w:rsidRDefault="007E01DF" w:rsidP="007E01DF">
      <w:pPr>
        <w:rPr>
          <w:rFonts w:cs="Arial"/>
        </w:rPr>
      </w:pPr>
    </w:p>
    <w:p w:rsidR="007E01DF" w:rsidRPr="003C7E41" w:rsidRDefault="007E01DF" w:rsidP="007E01DF">
      <w:pPr>
        <w:pStyle w:val="Nadpis3"/>
        <w:numPr>
          <w:ilvl w:val="0"/>
          <w:numId w:val="37"/>
        </w:numPr>
        <w:spacing w:before="120" w:line="240" w:lineRule="atLeast"/>
        <w:contextualSpacing w:val="0"/>
      </w:pPr>
      <w:bookmarkStart w:id="4" w:name="_Toc368648890"/>
      <w:r w:rsidRPr="003C7E41">
        <w:t>Proces monitoringu a vyhodnocení naplnění českého podílu</w:t>
      </w:r>
      <w:bookmarkEnd w:id="4"/>
    </w:p>
    <w:p w:rsidR="007E01DF" w:rsidRPr="003C7E41" w:rsidRDefault="007E01DF" w:rsidP="007E01DF">
      <w:pPr>
        <w:pStyle w:val="Odstavecseseznamem"/>
        <w:ind w:left="426"/>
        <w:rPr>
          <w:rFonts w:ascii="Arial" w:hAnsi="Arial" w:cs="Arial"/>
          <w:b/>
          <w:szCs w:val="24"/>
        </w:rPr>
      </w:pPr>
    </w:p>
    <w:p w:rsidR="007E01DF" w:rsidRPr="00916343" w:rsidRDefault="007E01DF" w:rsidP="007E01DF">
      <w:pPr>
        <w:pStyle w:val="slovn"/>
        <w:numPr>
          <w:ilvl w:val="0"/>
          <w:numId w:val="35"/>
        </w:numPr>
        <w:ind w:left="426" w:hanging="426"/>
        <w:jc w:val="both"/>
      </w:pPr>
      <w:r w:rsidRPr="00916343">
        <w:t xml:space="preserve">V závislosti na charakteru obchodního případu (objem, délka, typ pojištění, financování projektů apod.) bude v pojistném rozhodnutí a v pojistné smlouvě nebo ve </w:t>
      </w:r>
      <w:r w:rsidRPr="00916343">
        <w:rPr>
          <w:iCs/>
        </w:rPr>
        <w:t>Smlouvě o úpravě vztahů s vývozcem/výrobcem</w:t>
      </w:r>
      <w:r w:rsidRPr="00916343">
        <w:t>, stanoven následující způsob dalšího monitoringu naplňování českého podílu vývozcem:</w:t>
      </w:r>
    </w:p>
    <w:p w:rsidR="007E01DF" w:rsidRPr="003C7E41" w:rsidRDefault="007E01DF" w:rsidP="007E01DF">
      <w:pPr>
        <w:pStyle w:val="slovn2"/>
        <w:numPr>
          <w:ilvl w:val="0"/>
          <w:numId w:val="32"/>
        </w:numPr>
        <w:ind w:left="851" w:hanging="425"/>
        <w:jc w:val="both"/>
      </w:pPr>
      <w:r w:rsidRPr="003C7E41">
        <w:t xml:space="preserve">u pojistných smluv s MPH nad 500 mil. Kč a všech </w:t>
      </w:r>
      <w:r>
        <w:t>pojištění T</w:t>
      </w:r>
      <w:r w:rsidRPr="003C7E41">
        <w:t>ransakcí</w:t>
      </w:r>
      <w:r>
        <w:t xml:space="preserve"> je </w:t>
      </w:r>
      <w:r w:rsidRPr="003C7E41">
        <w:t>vyžadov</w:t>
      </w:r>
      <w:r>
        <w:t xml:space="preserve">ána </w:t>
      </w:r>
      <w:r w:rsidRPr="003C7E41">
        <w:t>aktualizac</w:t>
      </w:r>
      <w:r>
        <w:t>e</w:t>
      </w:r>
      <w:r w:rsidRPr="003C7E41">
        <w:t xml:space="preserve"> strukturovaného přehledu cenové kalkulace nákladů uveden</w:t>
      </w:r>
      <w:r>
        <w:t>á</w:t>
      </w:r>
      <w:r w:rsidRPr="003C7E41">
        <w:t xml:space="preserve"> v části IV. odst. 1 v termínech Pravidelného reportingu, jak je stanoveno zvláštním vnitřním předpisem</w:t>
      </w:r>
      <w:r>
        <w:rPr>
          <w:rStyle w:val="Znakapoznpodarou"/>
        </w:rPr>
        <w:footnoteReference w:id="5"/>
      </w:r>
      <w:r w:rsidRPr="003C7E41">
        <w:t xml:space="preserve">, s doplňující informací o smluvním zajištění subdodávek, </w:t>
      </w:r>
      <w:r>
        <w:t>předkládané</w:t>
      </w:r>
      <w:r w:rsidRPr="003C7E41">
        <w:t xml:space="preserve"> inspekční společností, která bude u těchto transakcí provádět rovněž pravidelnou fyzickou kontrolu vývoje obchodního případu na místě stavby</w:t>
      </w:r>
      <w:r>
        <w:t xml:space="preserve"> a/nebo výroby pro vývoz</w:t>
      </w:r>
      <w:r w:rsidRPr="003C7E41">
        <w:t>,</w:t>
      </w:r>
    </w:p>
    <w:p w:rsidR="007E01DF" w:rsidRDefault="007E01DF" w:rsidP="007E01DF">
      <w:pPr>
        <w:pStyle w:val="slovn2"/>
        <w:numPr>
          <w:ilvl w:val="0"/>
          <w:numId w:val="32"/>
        </w:numPr>
        <w:ind w:left="851" w:hanging="425"/>
        <w:jc w:val="both"/>
      </w:pPr>
      <w:r w:rsidRPr="003C7E41">
        <w:t xml:space="preserve">u pojistných smluv s MPH </w:t>
      </w:r>
      <w:r>
        <w:t>nad 100 mil. Kč a do</w:t>
      </w:r>
      <w:r w:rsidRPr="003C7E41">
        <w:t xml:space="preserve"> </w:t>
      </w:r>
      <w:r>
        <w:t>hodnoty 5</w:t>
      </w:r>
      <w:r w:rsidRPr="003C7E41">
        <w:t xml:space="preserve">00 mil. Kč </w:t>
      </w:r>
      <w:r>
        <w:t>včetně bude vyžadována</w:t>
      </w:r>
      <w:r w:rsidRPr="003C7E41">
        <w:t xml:space="preserve"> </w:t>
      </w:r>
      <w:r>
        <w:t xml:space="preserve">aktualizace strukturovaného přehledu cenové kalkulace nákladů uvedené v části IV. odst. 1 pouze v případě, že takto bude stanoveno v pojistném rozhodnutí nebo </w:t>
      </w:r>
      <w:r>
        <w:lastRenderedPageBreak/>
        <w:t>pokud vzniknou na straně EGAP pochybnosti o skutečném naplňování deklarované výše českého podílu</w:t>
      </w:r>
      <w:r w:rsidRPr="006C57D7">
        <w:t xml:space="preserve"> </w:t>
      </w:r>
      <w:r>
        <w:t>a bude rozhodnuto o změně podmínek pojištění, resp. rozhodnuto v rámci procesu správy obchodních případů</w:t>
      </w:r>
      <w:r>
        <w:rPr>
          <w:vertAlign w:val="superscript"/>
        </w:rPr>
        <w:t>3,4</w:t>
      </w:r>
      <w:r>
        <w:t>. Nebude-li v pojistném rozhodnutí stanoveno jinak, nebude u případné aktualizace uvedeného přehledu vyžadováno potvrzení ze strany inspekční společnosti</w:t>
      </w:r>
      <w:r w:rsidRPr="003C7E41">
        <w:t>,</w:t>
      </w:r>
    </w:p>
    <w:p w:rsidR="007E01DF" w:rsidRDefault="007E01DF" w:rsidP="007E01DF">
      <w:pPr>
        <w:pStyle w:val="slovn2"/>
        <w:numPr>
          <w:ilvl w:val="0"/>
          <w:numId w:val="32"/>
        </w:numPr>
        <w:ind w:left="851" w:hanging="425"/>
        <w:jc w:val="both"/>
      </w:pPr>
      <w:r>
        <w:t xml:space="preserve">u pojistných smluv s MPH do 100 mil. Kč včetně potvrdí </w:t>
      </w:r>
      <w:r w:rsidRPr="001C4CF1">
        <w:t>vývozce či výrobce</w:t>
      </w:r>
      <w:r>
        <w:t xml:space="preserve"> předpokládanou hodnotu českého podílu pouze formou Prohlášení o podílu hodnoty vývozu. Doplnění tohoto prohlášení přehledem cenové kalkulace nákladů dle části IV. odst. 1, popř. aktualizace této informace v průběhu realizace obchodního případu bude vyžadováno pouze v případě, že takto bude stanoveno v pojistném rozhodnutí nebo pokud vzniknou na straně EGAP pochybnosti o skutečném naplňování deklarované výše českého podílu a bude rozhodnuto o změně podmínek pojištění, resp. rozhodnuto v rámci procesu správy obchodních případů</w:t>
      </w:r>
      <w:r>
        <w:rPr>
          <w:vertAlign w:val="superscript"/>
        </w:rPr>
        <w:t>3,4</w:t>
      </w:r>
      <w:r>
        <w:t xml:space="preserve">. </w:t>
      </w:r>
    </w:p>
    <w:p w:rsidR="007E01DF" w:rsidRPr="003C7E41" w:rsidRDefault="007E01DF" w:rsidP="007E01DF">
      <w:pPr>
        <w:pStyle w:val="slovn2"/>
        <w:numPr>
          <w:ilvl w:val="0"/>
          <w:numId w:val="0"/>
        </w:numPr>
        <w:ind w:left="426"/>
        <w:jc w:val="both"/>
      </w:pPr>
      <w:r w:rsidRPr="00280439">
        <w:t>Uzavření smlouvy s Inspekční společností s obsahem na základě požadavku EGAP zajistí na své náklady, resp. na náklady vývozce či výrobce, žadatel o pojištění, resp. pojištěný, s tím, že tato povinnost bude uvedena v pojistné smlouvě.</w:t>
      </w:r>
      <w:r>
        <w:t xml:space="preserve"> </w:t>
      </w:r>
    </w:p>
    <w:p w:rsidR="007E01DF" w:rsidRDefault="007E01DF" w:rsidP="007E01DF">
      <w:pPr>
        <w:pStyle w:val="slovn"/>
        <w:numPr>
          <w:ilvl w:val="0"/>
          <w:numId w:val="0"/>
        </w:numPr>
        <w:ind w:left="360" w:hanging="360"/>
        <w:jc w:val="both"/>
      </w:pPr>
    </w:p>
    <w:p w:rsidR="007E01DF" w:rsidRDefault="007E01DF" w:rsidP="007E01DF">
      <w:pPr>
        <w:pStyle w:val="slovn"/>
        <w:numPr>
          <w:ilvl w:val="0"/>
          <w:numId w:val="0"/>
        </w:numPr>
        <w:ind w:left="360" w:hanging="360"/>
        <w:jc w:val="both"/>
      </w:pPr>
    </w:p>
    <w:p w:rsidR="007E01DF" w:rsidRDefault="007E01DF" w:rsidP="007E01DF">
      <w:pPr>
        <w:spacing w:line="280" w:lineRule="exact"/>
        <w:jc w:val="center"/>
        <w:rPr>
          <w:rFonts w:cs="Arial"/>
          <w:b/>
          <w:sz w:val="28"/>
          <w:szCs w:val="28"/>
        </w:rPr>
      </w:pPr>
      <w:r w:rsidRPr="00832EB8">
        <w:rPr>
          <w:rFonts w:cs="Arial"/>
          <w:b/>
          <w:sz w:val="28"/>
          <w:szCs w:val="28"/>
        </w:rPr>
        <w:t>Definice pojmů a použitých zkratek</w:t>
      </w:r>
      <w:r>
        <w:rPr>
          <w:rFonts w:cs="Arial"/>
          <w:b/>
          <w:sz w:val="28"/>
          <w:szCs w:val="28"/>
        </w:rPr>
        <w:t>*</w:t>
      </w:r>
    </w:p>
    <w:p w:rsidR="007E01DF" w:rsidRPr="00832EB8" w:rsidRDefault="007E01DF" w:rsidP="007E01DF">
      <w:pPr>
        <w:spacing w:line="280" w:lineRule="exact"/>
        <w:jc w:val="center"/>
        <w:rPr>
          <w:rFonts w:cs="Arial"/>
          <w:sz w:val="28"/>
          <w:szCs w:val="28"/>
        </w:rPr>
      </w:pPr>
    </w:p>
    <w:p w:rsidR="007E01DF" w:rsidRPr="003C7E41" w:rsidRDefault="007E01DF" w:rsidP="007E01DF">
      <w:pPr>
        <w:spacing w:line="280" w:lineRule="exact"/>
        <w:jc w:val="both"/>
        <w:rPr>
          <w:rFonts w:cs="Arial"/>
        </w:rPr>
      </w:pPr>
      <w:r w:rsidRPr="003C7E41">
        <w:rPr>
          <w:rFonts w:cs="Arial"/>
        </w:rPr>
        <w:t>Pro účely tohoto příkazu se rozumí: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6541"/>
      </w:tblGrid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line="280" w:lineRule="exact"/>
              <w:jc w:val="both"/>
              <w:rPr>
                <w:rFonts w:cs="Arial"/>
                <w:b/>
                <w:iCs/>
              </w:rPr>
            </w:pPr>
            <w:r w:rsidRPr="003C7E41">
              <w:rPr>
                <w:rFonts w:cs="Arial"/>
                <w:b/>
                <w:iCs/>
              </w:rPr>
              <w:t>Českým podílem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after="0" w:line="280" w:lineRule="exact"/>
              <w:jc w:val="both"/>
              <w:rPr>
                <w:rFonts w:cs="Arial"/>
                <w:iCs/>
              </w:rPr>
            </w:pPr>
            <w:r w:rsidRPr="003C7E41">
              <w:rPr>
                <w:rFonts w:cs="Arial"/>
                <w:iCs/>
              </w:rPr>
              <w:t>hodnota zboží a služeb vytvořená v České republice na hodnotě vývozu</w:t>
            </w:r>
            <w:r>
              <w:rPr>
                <w:rFonts w:cs="Arial"/>
                <w:iCs/>
              </w:rPr>
              <w:t xml:space="preserve"> nebo výroby pro vývoz.</w:t>
            </w:r>
          </w:p>
        </w:tc>
      </w:tr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after="0" w:line="280" w:lineRule="exact"/>
              <w:jc w:val="both"/>
              <w:rPr>
                <w:rFonts w:cs="Arial"/>
                <w:b/>
                <w:iCs/>
              </w:rPr>
            </w:pPr>
            <w:r w:rsidRPr="003C7E41">
              <w:rPr>
                <w:rFonts w:cs="Arial"/>
                <w:b/>
                <w:iCs/>
              </w:rPr>
              <w:t>Českým subdodavatelem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after="0" w:line="280" w:lineRule="exact"/>
              <w:jc w:val="both"/>
              <w:rPr>
                <w:rFonts w:cs="Arial"/>
                <w:iCs/>
              </w:rPr>
            </w:pPr>
            <w:r w:rsidRPr="003C7E41">
              <w:rPr>
                <w:rFonts w:cs="Arial"/>
              </w:rPr>
              <w:t>subdodavatel, který</w:t>
            </w:r>
            <w:r>
              <w:rPr>
                <w:rFonts w:cs="Arial"/>
              </w:rPr>
              <w:t>m</w:t>
            </w:r>
            <w:r w:rsidRPr="003C7E41">
              <w:rPr>
                <w:rFonts w:cs="Arial"/>
              </w:rPr>
              <w:t xml:space="preserve"> je právnick</w:t>
            </w:r>
            <w:r>
              <w:rPr>
                <w:rFonts w:cs="Arial"/>
              </w:rPr>
              <w:t>á</w:t>
            </w:r>
            <w:r w:rsidRPr="003C7E41">
              <w:rPr>
                <w:rFonts w:cs="Arial"/>
              </w:rPr>
              <w:t xml:space="preserve"> osob</w:t>
            </w:r>
            <w:r>
              <w:rPr>
                <w:rFonts w:cs="Arial"/>
              </w:rPr>
              <w:t>a</w:t>
            </w:r>
            <w:r w:rsidRPr="003C7E41">
              <w:rPr>
                <w:rFonts w:cs="Arial"/>
              </w:rPr>
              <w:t xml:space="preserve"> se sídlem nebo fyzická osoba s trvalým pobytem na území České republiky</w:t>
            </w:r>
            <w:r>
              <w:rPr>
                <w:rFonts w:cs="Arial"/>
              </w:rPr>
              <w:t>.</w:t>
            </w:r>
            <w:r w:rsidRPr="003C7E41">
              <w:rPr>
                <w:rFonts w:cs="Arial"/>
              </w:rPr>
              <w:t xml:space="preserve"> </w:t>
            </w:r>
          </w:p>
        </w:tc>
      </w:tr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5B22A6" w:rsidRDefault="007E01DF" w:rsidP="00156B27">
            <w:pPr>
              <w:spacing w:line="280" w:lineRule="exact"/>
              <w:jc w:val="both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Cs/>
              </w:rPr>
              <w:t xml:space="preserve">Export </w:t>
            </w:r>
            <w:proofErr w:type="spellStart"/>
            <w:r>
              <w:rPr>
                <w:rFonts w:cs="Arial"/>
                <w:b/>
                <w:iCs/>
              </w:rPr>
              <w:t>Contract</w:t>
            </w:r>
            <w:proofErr w:type="spellEnd"/>
            <w:r>
              <w:rPr>
                <w:rFonts w:cs="Arial"/>
                <w:b/>
                <w:iCs/>
              </w:rPr>
              <w:t xml:space="preserve"> </w:t>
            </w:r>
            <w:proofErr w:type="spellStart"/>
            <w:r>
              <w:rPr>
                <w:rFonts w:cs="Arial"/>
                <w:b/>
                <w:iCs/>
              </w:rPr>
              <w:t>Value</w:t>
            </w:r>
            <w:proofErr w:type="spellEnd"/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Default="007E01DF" w:rsidP="00156B27">
            <w:pPr>
              <w:spacing w:after="0" w:line="280" w:lineRule="exact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hodnota definovaná v souladu s Konsensem OECD jako celková částka, která má být zaplacena kupujícím (dovozcem) nebo jeho jménem za vyvážené zboží nebo služby snížená o hodnotu místních nákladů.</w:t>
            </w:r>
          </w:p>
        </w:tc>
      </w:tr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line="280" w:lineRule="exact"/>
              <w:jc w:val="both"/>
              <w:rPr>
                <w:rFonts w:cs="Arial"/>
                <w:b/>
                <w:iCs/>
              </w:rPr>
            </w:pPr>
            <w:r w:rsidRPr="003C7E41">
              <w:rPr>
                <w:rFonts w:cs="Arial"/>
                <w:b/>
                <w:iCs/>
              </w:rPr>
              <w:t>Hodnotou vývozu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after="0" w:line="280" w:lineRule="exact"/>
              <w:jc w:val="both"/>
              <w:rPr>
                <w:rFonts w:cs="Arial"/>
                <w:iCs/>
              </w:rPr>
            </w:pPr>
            <w:r w:rsidRPr="003C7E41">
              <w:rPr>
                <w:rFonts w:cs="Arial"/>
                <w:iCs/>
              </w:rPr>
              <w:t>cena sjednaná ve smlouvě o vývozu, jak je uvedeno v</w:t>
            </w:r>
            <w:r>
              <w:rPr>
                <w:rFonts w:cs="Arial"/>
                <w:iCs/>
              </w:rPr>
              <w:t> </w:t>
            </w:r>
            <w:r w:rsidRPr="003C7E41">
              <w:rPr>
                <w:rFonts w:cs="Arial"/>
                <w:iCs/>
              </w:rPr>
              <w:t>zákoně č.</w:t>
            </w:r>
            <w:r w:rsidRPr="003C7E41">
              <w:rPr>
                <w:rFonts w:cs="Arial"/>
              </w:rPr>
              <w:t xml:space="preserve"> </w:t>
            </w:r>
            <w:r w:rsidRPr="003C7E41">
              <w:rPr>
                <w:rFonts w:cs="Arial"/>
                <w:iCs/>
              </w:rPr>
              <w:t>58/1995 Sb. Za smlouvu o vývozu se považuje i EPC kontrakt</w:t>
            </w:r>
            <w:r>
              <w:rPr>
                <w:rFonts w:cs="Arial"/>
                <w:iCs/>
              </w:rPr>
              <w:t>.</w:t>
            </w:r>
          </w:p>
        </w:tc>
      </w:tr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Default="007E01DF" w:rsidP="00156B27">
            <w:pPr>
              <w:spacing w:line="280" w:lineRule="exact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Místními náklady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Default="007E01DF" w:rsidP="00156B27">
            <w:pPr>
              <w:spacing w:line="280" w:lineRule="exac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Hodnota definovaná v souladu s Konsensem OECD jako výdaje za zboží a služby v zemi kupujícího, které jsou nezbytné buď pro provedení smlouvy o vývozu, nebo pro dokončení projektu, jehož součástí je smlouva o vývozu. Místní náklady nezahrnují provizi pro obchodního zástupce vývozce v zemi kupujícího.</w:t>
            </w:r>
          </w:p>
        </w:tc>
      </w:tr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after="0" w:line="280" w:lineRule="exact"/>
              <w:jc w:val="both"/>
              <w:rPr>
                <w:rFonts w:cs="Arial"/>
                <w:b/>
                <w:iCs/>
              </w:rPr>
            </w:pPr>
            <w:r w:rsidRPr="003C7E41">
              <w:rPr>
                <w:rFonts w:cs="Arial"/>
                <w:b/>
                <w:iCs/>
              </w:rPr>
              <w:t>MPH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after="0" w:line="280" w:lineRule="exact"/>
              <w:jc w:val="both"/>
              <w:rPr>
                <w:rFonts w:cs="Arial"/>
                <w:iCs/>
              </w:rPr>
            </w:pPr>
            <w:r w:rsidRPr="003C7E41">
              <w:rPr>
                <w:rFonts w:cs="Arial"/>
                <w:iCs/>
              </w:rPr>
              <w:t>maximální pojistná hodnota</w:t>
            </w:r>
            <w:r>
              <w:rPr>
                <w:rFonts w:cs="Arial"/>
                <w:iCs/>
              </w:rPr>
              <w:t>.</w:t>
            </w:r>
          </w:p>
        </w:tc>
      </w:tr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line="280" w:lineRule="exact"/>
              <w:jc w:val="both"/>
              <w:rPr>
                <w:rFonts w:cs="Arial"/>
                <w:b/>
                <w:iCs/>
              </w:rPr>
            </w:pPr>
            <w:r w:rsidRPr="003C7E41">
              <w:rPr>
                <w:rFonts w:cs="Arial"/>
                <w:b/>
                <w:iCs/>
              </w:rPr>
              <w:t>Prohlášením o podílu hodnoty vývozu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after="0" w:line="280" w:lineRule="exact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p</w:t>
            </w:r>
            <w:r w:rsidRPr="003C7E41">
              <w:rPr>
                <w:rFonts w:cs="Arial"/>
                <w:iCs/>
              </w:rPr>
              <w:t xml:space="preserve">rohlášení </w:t>
            </w:r>
            <w:r>
              <w:rPr>
                <w:rFonts w:cs="Arial"/>
                <w:iCs/>
              </w:rPr>
              <w:t>vývozce či výrobce</w:t>
            </w:r>
            <w:r w:rsidRPr="003C7E41">
              <w:rPr>
                <w:rFonts w:cs="Arial"/>
                <w:iCs/>
              </w:rPr>
              <w:t xml:space="preserve"> o procentuální výši českého podílu ve vztahu k hodnotě vývozu</w:t>
            </w:r>
            <w:r>
              <w:rPr>
                <w:rFonts w:cs="Arial"/>
                <w:iCs/>
              </w:rPr>
              <w:t xml:space="preserve"> na formuláři schváleném představenstvem.</w:t>
            </w:r>
          </w:p>
        </w:tc>
      </w:tr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line="280" w:lineRule="exact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Smlouvou o úpravě vztahů s vývozcem/výrobcem</w:t>
            </w:r>
            <w:r>
              <w:rPr>
                <w:rFonts w:cs="Arial"/>
                <w:b/>
                <w:iCs/>
              </w:rPr>
              <w:t>**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Default="007E01DF" w:rsidP="00156B27">
            <w:pPr>
              <w:spacing w:after="0" w:line="280" w:lineRule="exact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</w:t>
            </w:r>
            <w:r w:rsidRPr="003C7E41">
              <w:rPr>
                <w:rFonts w:cs="Arial"/>
                <w:iCs/>
              </w:rPr>
              <w:t xml:space="preserve">ohoda uzavřená mezi EGAP a </w:t>
            </w:r>
            <w:r>
              <w:rPr>
                <w:rFonts w:cs="Arial"/>
                <w:iCs/>
              </w:rPr>
              <w:t>vývozcem či výrobcem</w:t>
            </w:r>
            <w:r w:rsidRPr="003C7E41">
              <w:rPr>
                <w:rFonts w:cs="Arial"/>
                <w:iCs/>
              </w:rPr>
              <w:t xml:space="preserve">, která vymezuje informační povinnosti </w:t>
            </w:r>
            <w:r>
              <w:rPr>
                <w:rFonts w:cs="Arial"/>
                <w:iCs/>
              </w:rPr>
              <w:t>vývozce či výrobce</w:t>
            </w:r>
            <w:r w:rsidRPr="003C7E41">
              <w:rPr>
                <w:rFonts w:cs="Arial"/>
                <w:iCs/>
              </w:rPr>
              <w:t xml:space="preserve"> ve vztahu k naplňování českého podílu</w:t>
            </w:r>
            <w:r>
              <w:rPr>
                <w:rFonts w:cs="Arial"/>
                <w:iCs/>
              </w:rPr>
              <w:t xml:space="preserve"> a další závazky s tím spojené, schválená představenstvem.</w:t>
            </w:r>
          </w:p>
        </w:tc>
      </w:tr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line="280" w:lineRule="exact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Výrobcem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after="0" w:line="280" w:lineRule="exact"/>
              <w:jc w:val="both"/>
              <w:rPr>
                <w:rFonts w:cs="Arial"/>
                <w:iCs/>
              </w:rPr>
            </w:pPr>
            <w:r>
              <w:t xml:space="preserve">osoba, která vyrábí zboží nebo poskytuje služby určené pro následný vývoz, jak je tato uvedena v zákoně č. </w:t>
            </w:r>
            <w:r w:rsidRPr="003C7E41">
              <w:rPr>
                <w:rFonts w:cs="Arial"/>
                <w:iCs/>
              </w:rPr>
              <w:t>58/1995 Sb</w:t>
            </w:r>
            <w:r>
              <w:rPr>
                <w:rFonts w:cs="Arial"/>
                <w:iCs/>
              </w:rPr>
              <w:t>.</w:t>
            </w:r>
          </w:p>
        </w:tc>
      </w:tr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line="280" w:lineRule="exact"/>
              <w:jc w:val="both"/>
              <w:rPr>
                <w:rFonts w:cs="Arial"/>
                <w:b/>
                <w:iCs/>
              </w:rPr>
            </w:pPr>
            <w:r w:rsidRPr="003C7E41">
              <w:rPr>
                <w:rFonts w:cs="Arial"/>
                <w:b/>
                <w:iCs/>
              </w:rPr>
              <w:lastRenderedPageBreak/>
              <w:t>Vývozcem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415691" w:rsidRDefault="007E01DF" w:rsidP="007E01DF">
            <w:pPr>
              <w:pStyle w:val="slovn3"/>
              <w:numPr>
                <w:ilvl w:val="0"/>
                <w:numId w:val="36"/>
              </w:numPr>
              <w:spacing w:after="0"/>
              <w:ind w:left="421" w:hanging="284"/>
              <w:jc w:val="both"/>
              <w:rPr>
                <w:iCs/>
                <w:lang w:eastAsia="en-US"/>
              </w:rPr>
            </w:pPr>
            <w:r w:rsidRPr="00415691">
              <w:rPr>
                <w:iCs/>
                <w:lang w:eastAsia="en-US"/>
              </w:rPr>
              <w:t>právnická osoba se sídlem nebo fyzická osoba s trvalým pobytem na území České republiky nebo její organizační složka v zahraničí nebo</w:t>
            </w:r>
          </w:p>
          <w:p w:rsidR="007E01DF" w:rsidRPr="00415691" w:rsidRDefault="007E01DF" w:rsidP="00156B27">
            <w:pPr>
              <w:pStyle w:val="slovn3"/>
              <w:spacing w:after="0"/>
              <w:ind w:left="421" w:hanging="284"/>
              <w:rPr>
                <w:iCs/>
                <w:lang w:eastAsia="en-US"/>
              </w:rPr>
            </w:pPr>
            <w:r w:rsidRPr="00415691">
              <w:rPr>
                <w:iCs/>
                <w:lang w:eastAsia="en-US"/>
              </w:rPr>
              <w:t>zahraniční společnost,</w:t>
            </w:r>
          </w:p>
          <w:p w:rsidR="007E01DF" w:rsidRPr="00415691" w:rsidRDefault="007E01DF" w:rsidP="00156B27">
            <w:pPr>
              <w:spacing w:before="0" w:after="0" w:line="280" w:lineRule="exact"/>
              <w:jc w:val="both"/>
              <w:rPr>
                <w:rFonts w:cs="Arial"/>
                <w:iCs/>
              </w:rPr>
            </w:pPr>
            <w:r w:rsidRPr="00415691">
              <w:rPr>
                <w:rFonts w:cs="Arial"/>
                <w:iCs/>
              </w:rPr>
              <w:t xml:space="preserve">jak je uvedeno v zákoně č. 58/1995 Sb. </w:t>
            </w:r>
          </w:p>
        </w:tc>
      </w:tr>
      <w:tr w:rsidR="007E01DF" w:rsidRPr="003C7E41" w:rsidTr="00156B2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line="280" w:lineRule="exact"/>
              <w:jc w:val="both"/>
              <w:rPr>
                <w:rFonts w:cs="Arial"/>
                <w:b/>
                <w:iCs/>
              </w:rPr>
            </w:pPr>
            <w:r w:rsidRPr="003C7E41">
              <w:rPr>
                <w:rFonts w:cs="Arial"/>
                <w:b/>
                <w:iCs/>
              </w:rPr>
              <w:t>Zahraniční společností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F" w:rsidRPr="003C7E41" w:rsidRDefault="007E01DF" w:rsidP="00156B27">
            <w:pPr>
              <w:spacing w:after="0" w:line="280" w:lineRule="exact"/>
              <w:jc w:val="both"/>
              <w:rPr>
                <w:rFonts w:cs="Arial"/>
                <w:iCs/>
              </w:rPr>
            </w:pPr>
            <w:r w:rsidRPr="003C7E41">
              <w:rPr>
                <w:rFonts w:cs="Arial"/>
              </w:rPr>
              <w:t>právnická osoba se sídlem v zahraničí, kterou právnická osoba se sídlem na území České republiky, která je podnikatelem podle obchodního zákoníku, ovládá tím, že se na základním kapitálu společnosti přímo či nepřímo podílí z více než 50 % nebo kontroluje nadpoloviční většinu hlasovacích práv spojených s účastí na základním kapitálu společnosti nebo může jmenovat většinu členů představenstva, dozorčí rady nebo správní rady nebo jiného obdobné</w:t>
            </w:r>
            <w:r>
              <w:rPr>
                <w:rFonts w:cs="Arial"/>
              </w:rPr>
              <w:t>ho vedoucího orgánu společnosti</w:t>
            </w:r>
          </w:p>
        </w:tc>
      </w:tr>
    </w:tbl>
    <w:p w:rsidR="007E01DF" w:rsidRDefault="007E01DF" w:rsidP="007E01DF">
      <w:pPr>
        <w:spacing w:line="280" w:lineRule="exact"/>
        <w:jc w:val="both"/>
        <w:rPr>
          <w:rFonts w:cs="Arial"/>
        </w:rPr>
      </w:pPr>
      <w:r>
        <w:rPr>
          <w:rFonts w:cs="Arial"/>
        </w:rPr>
        <w:t>*</w:t>
      </w:r>
      <w:r w:rsidRPr="005B22A6">
        <w:rPr>
          <w:rFonts w:cs="Arial"/>
          <w:sz w:val="18"/>
          <w:szCs w:val="18"/>
        </w:rPr>
        <w:t>Pojmy a zkratky mohou být pro lepší orientaci v textu příkazu uvozeny velkými písmeny</w:t>
      </w:r>
      <w:r>
        <w:rPr>
          <w:rFonts w:cs="Arial"/>
        </w:rPr>
        <w:t>.</w:t>
      </w:r>
    </w:p>
    <w:p w:rsidR="007E01DF" w:rsidRPr="007E01DF" w:rsidRDefault="007E01DF" w:rsidP="007E01DF">
      <w:pPr>
        <w:spacing w:line="280" w:lineRule="exact"/>
        <w:jc w:val="both"/>
        <w:rPr>
          <w:rFonts w:cs="Arial"/>
          <w:sz w:val="18"/>
          <w:szCs w:val="18"/>
        </w:rPr>
      </w:pPr>
      <w:r w:rsidRPr="007E01DF">
        <w:rPr>
          <w:rFonts w:cs="Arial"/>
          <w:sz w:val="18"/>
          <w:szCs w:val="18"/>
        </w:rPr>
        <w:t xml:space="preserve">** </w:t>
      </w:r>
      <w:r>
        <w:rPr>
          <w:rFonts w:cs="Arial"/>
          <w:sz w:val="18"/>
          <w:szCs w:val="18"/>
        </w:rPr>
        <w:t xml:space="preserve">platnou alternativou </w:t>
      </w:r>
      <w:r w:rsidRPr="007E01DF">
        <w:rPr>
          <w:rFonts w:cs="Arial"/>
          <w:sz w:val="18"/>
          <w:szCs w:val="18"/>
        </w:rPr>
        <w:t>Smlouv</w:t>
      </w:r>
      <w:r>
        <w:rPr>
          <w:rFonts w:cs="Arial"/>
          <w:sz w:val="18"/>
          <w:szCs w:val="18"/>
        </w:rPr>
        <w:t>y</w:t>
      </w:r>
      <w:r w:rsidRPr="007E01DF">
        <w:rPr>
          <w:rFonts w:cs="Arial"/>
          <w:sz w:val="18"/>
          <w:szCs w:val="18"/>
        </w:rPr>
        <w:t xml:space="preserve"> o úpravě vztahů s vývozcem </w:t>
      </w:r>
      <w:r>
        <w:rPr>
          <w:rFonts w:cs="Arial"/>
          <w:sz w:val="18"/>
          <w:szCs w:val="18"/>
        </w:rPr>
        <w:t>je</w:t>
      </w:r>
      <w:r w:rsidRPr="007E01DF">
        <w:rPr>
          <w:rFonts w:cs="Arial"/>
          <w:sz w:val="18"/>
          <w:szCs w:val="18"/>
        </w:rPr>
        <w:t xml:space="preserve"> Prohlášení vývozce o podílu hodnoty </w:t>
      </w:r>
      <w:bookmarkStart w:id="5" w:name="_GoBack"/>
      <w:bookmarkEnd w:id="5"/>
      <w:r>
        <w:rPr>
          <w:rFonts w:cs="Arial"/>
          <w:sz w:val="18"/>
          <w:szCs w:val="18"/>
        </w:rPr>
        <w:t xml:space="preserve"> </w:t>
      </w:r>
      <w:r w:rsidRPr="007E01DF">
        <w:rPr>
          <w:rFonts w:cs="Arial"/>
          <w:sz w:val="18"/>
          <w:szCs w:val="18"/>
        </w:rPr>
        <w:t>vývozu</w:t>
      </w:r>
    </w:p>
    <w:p w:rsidR="007E01DF" w:rsidRPr="003C7E41" w:rsidRDefault="007E01DF" w:rsidP="007E01DF">
      <w:pPr>
        <w:spacing w:line="280" w:lineRule="exact"/>
        <w:jc w:val="both"/>
        <w:rPr>
          <w:rFonts w:cs="Arial"/>
        </w:rPr>
      </w:pPr>
    </w:p>
    <w:p w:rsidR="007E01DF" w:rsidRPr="003C7E41" w:rsidRDefault="007E01DF" w:rsidP="007E01DF">
      <w:pPr>
        <w:jc w:val="both"/>
        <w:rPr>
          <w:rFonts w:cs="Arial"/>
          <w:iCs/>
        </w:rPr>
      </w:pPr>
      <w:r w:rsidRPr="003C7E41">
        <w:rPr>
          <w:rFonts w:cs="Arial"/>
          <w:iCs/>
        </w:rPr>
        <w:t>Ostatní pojmy a zkratky v tomto příkazu neuvedené a užívané jsou definovány v jiných Vnitřních předpisech, Právních předpisech nebo Přehledu zkratek a pojmů. Vnitřními předpisy jsou vnitřní předpisy EGAP.</w:t>
      </w:r>
    </w:p>
    <w:p w:rsidR="007E01DF" w:rsidRDefault="007E01DF" w:rsidP="007E01DF">
      <w:pPr>
        <w:pStyle w:val="slovn"/>
        <w:numPr>
          <w:ilvl w:val="0"/>
          <w:numId w:val="0"/>
        </w:numPr>
        <w:ind w:left="360" w:hanging="360"/>
        <w:jc w:val="both"/>
      </w:pPr>
    </w:p>
    <w:p w:rsidR="007E01DF" w:rsidRDefault="007E01DF" w:rsidP="007E01DF">
      <w:pPr>
        <w:rPr>
          <w:rFonts w:cs="Arial"/>
        </w:rPr>
      </w:pPr>
    </w:p>
    <w:p w:rsidR="001268C3" w:rsidRPr="00F37A75" w:rsidRDefault="001268C3" w:rsidP="0051653F"/>
    <w:sectPr w:rsidR="001268C3" w:rsidRPr="00F37A75" w:rsidSect="00694CBF">
      <w:footerReference w:type="default" r:id="rId9"/>
      <w:footerReference w:type="first" r:id="rId10"/>
      <w:pgSz w:w="11907" w:h="16840" w:code="9"/>
      <w:pgMar w:top="1134" w:right="1021" w:bottom="567" w:left="1021" w:header="35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DF" w:rsidRDefault="007E01DF" w:rsidP="007D767A">
      <w:r>
        <w:separator/>
      </w:r>
    </w:p>
  </w:endnote>
  <w:endnote w:type="continuationSeparator" w:id="0">
    <w:p w:rsidR="007E01DF" w:rsidRDefault="007E01DF" w:rsidP="007D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E3" w:rsidRPr="00DB4B48" w:rsidRDefault="009B50E3" w:rsidP="007D767A">
    <w:r w:rsidRPr="00DB4B48">
      <w:tab/>
    </w:r>
    <w:r w:rsidRPr="00DB4B48">
      <w:tab/>
    </w:r>
    <w:r w:rsidR="00B9104F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4369244" wp14:editId="6C9639DB">
          <wp:simplePos x="0" y="0"/>
          <wp:positionH relativeFrom="column">
            <wp:posOffset>4438015</wp:posOffset>
          </wp:positionH>
          <wp:positionV relativeFrom="paragraph">
            <wp:posOffset>-1814830</wp:posOffset>
          </wp:positionV>
          <wp:extent cx="2743200" cy="2557780"/>
          <wp:effectExtent l="0" t="0" r="0" b="0"/>
          <wp:wrapNone/>
          <wp:docPr id="1" name="Picture 23" descr="Description: Description: symbol pro dop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escription: Description: symbol pro dop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55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E3" w:rsidRDefault="00531FE6" w:rsidP="007D767A">
    <w:fldSimple w:instr=" SUBJECT  \* MERGEFORMAT ">
      <w:r w:rsidR="005F0642">
        <w:t>488141 v12</w:t>
      </w:r>
    </w:fldSimple>
    <w:r w:rsidR="009B50E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DF" w:rsidRDefault="007E01DF" w:rsidP="007D767A">
      <w:r>
        <w:separator/>
      </w:r>
    </w:p>
  </w:footnote>
  <w:footnote w:type="continuationSeparator" w:id="0">
    <w:p w:rsidR="007E01DF" w:rsidRDefault="007E01DF" w:rsidP="007D767A">
      <w:r>
        <w:continuationSeparator/>
      </w:r>
    </w:p>
  </w:footnote>
  <w:footnote w:id="1">
    <w:p w:rsidR="007E01DF" w:rsidRPr="00B90C4F" w:rsidRDefault="007E01DF" w:rsidP="007E01DF">
      <w:pPr>
        <w:pStyle w:val="Textpoznpodarou"/>
        <w:rPr>
          <w:sz w:val="18"/>
          <w:szCs w:val="18"/>
        </w:rPr>
      </w:pPr>
      <w:r w:rsidRPr="00B90C4F">
        <w:rPr>
          <w:rStyle w:val="Znakapoznpodarou"/>
          <w:sz w:val="18"/>
          <w:szCs w:val="18"/>
        </w:rPr>
        <w:footnoteRef/>
      </w:r>
      <w:r w:rsidRPr="00B90C4F">
        <w:rPr>
          <w:sz w:val="18"/>
          <w:szCs w:val="18"/>
        </w:rPr>
        <w:t xml:space="preserve"> Příkaz č. 276 Postupy při sjednávání pojištění vývozních úvěrových rizik v EGAP</w:t>
      </w:r>
    </w:p>
    <w:p w:rsidR="007E01DF" w:rsidRDefault="007E01DF" w:rsidP="007E01DF">
      <w:pPr>
        <w:pStyle w:val="Textpoznpodarou"/>
      </w:pPr>
    </w:p>
  </w:footnote>
  <w:footnote w:id="2">
    <w:p w:rsidR="007E01DF" w:rsidRPr="00B90C4F" w:rsidRDefault="007E01DF" w:rsidP="007E01DF">
      <w:pPr>
        <w:pStyle w:val="Textpoznpodarou"/>
        <w:rPr>
          <w:sz w:val="18"/>
          <w:szCs w:val="18"/>
        </w:rPr>
      </w:pPr>
      <w:r w:rsidRPr="00B90C4F">
        <w:rPr>
          <w:rStyle w:val="Znakapoznpodarou"/>
          <w:sz w:val="18"/>
          <w:szCs w:val="18"/>
        </w:rPr>
        <w:footnoteRef/>
      </w:r>
      <w:r w:rsidRPr="00B90C4F">
        <w:rPr>
          <w:sz w:val="18"/>
          <w:szCs w:val="18"/>
        </w:rPr>
        <w:t xml:space="preserve"> Příkaz č. 269 Postupy EGAP při notifikacích a hlášeních orgánům EU, OECD a BU</w:t>
      </w:r>
    </w:p>
  </w:footnote>
  <w:footnote w:id="3">
    <w:p w:rsidR="007E01DF" w:rsidRPr="00B90C4F" w:rsidRDefault="007E01DF" w:rsidP="007E01DF">
      <w:pPr>
        <w:pStyle w:val="Textpoznpodarou"/>
        <w:rPr>
          <w:sz w:val="18"/>
          <w:szCs w:val="18"/>
        </w:rPr>
      </w:pPr>
      <w:r w:rsidRPr="00B90C4F">
        <w:rPr>
          <w:rStyle w:val="Znakapoznpodarou"/>
          <w:sz w:val="18"/>
          <w:szCs w:val="18"/>
        </w:rPr>
        <w:footnoteRef/>
      </w:r>
      <w:r w:rsidRPr="00B90C4F">
        <w:rPr>
          <w:sz w:val="18"/>
          <w:szCs w:val="18"/>
        </w:rPr>
        <w:t xml:space="preserve"> Příkaz č. 276 Postupy při sjednávání pojištění vývozních úvěrových rizik v EGAP</w:t>
      </w:r>
    </w:p>
  </w:footnote>
  <w:footnote w:id="4">
    <w:p w:rsidR="007E01DF" w:rsidRPr="00832EB8" w:rsidRDefault="007E01DF" w:rsidP="007E01DF">
      <w:pPr>
        <w:pStyle w:val="Textpoznpodarou"/>
        <w:rPr>
          <w:sz w:val="18"/>
          <w:szCs w:val="18"/>
        </w:rPr>
      </w:pPr>
      <w:r w:rsidRPr="00832EB8">
        <w:rPr>
          <w:rStyle w:val="Znakapoznpodarou"/>
          <w:sz w:val="18"/>
          <w:szCs w:val="18"/>
        </w:rPr>
        <w:footnoteRef/>
      </w:r>
      <w:r w:rsidRPr="00832E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Příkaz č. 153 </w:t>
      </w:r>
      <w:r w:rsidRPr="00832EB8">
        <w:rPr>
          <w:sz w:val="18"/>
          <w:szCs w:val="18"/>
        </w:rPr>
        <w:t>Metodika stanovení pojistných sazeb</w:t>
      </w:r>
    </w:p>
  </w:footnote>
  <w:footnote w:id="5">
    <w:p w:rsidR="007E01DF" w:rsidRPr="00832EB8" w:rsidRDefault="007E01DF" w:rsidP="007E01DF">
      <w:pPr>
        <w:pStyle w:val="Textpoznpodarou"/>
        <w:rPr>
          <w:sz w:val="18"/>
          <w:szCs w:val="18"/>
        </w:rPr>
      </w:pPr>
      <w:r w:rsidRPr="00832EB8">
        <w:rPr>
          <w:rStyle w:val="Znakapoznpodarou"/>
          <w:sz w:val="18"/>
          <w:szCs w:val="18"/>
        </w:rPr>
        <w:footnoteRef/>
      </w:r>
      <w:r w:rsidRPr="00832EB8">
        <w:rPr>
          <w:sz w:val="18"/>
          <w:szCs w:val="18"/>
        </w:rPr>
        <w:t xml:space="preserve"> </w:t>
      </w:r>
      <w:r w:rsidRPr="00832EB8">
        <w:rPr>
          <w:rFonts w:cs="Arial"/>
          <w:sz w:val="18"/>
          <w:szCs w:val="18"/>
        </w:rPr>
        <w:t>Příkaz č. 264 Postup při správě obchodních případů v Exportní garanční a pojišťovací společnosti, a.s.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447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98C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0C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4E0F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C88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A61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A47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E83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A5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3E7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179C"/>
    <w:multiLevelType w:val="hybridMultilevel"/>
    <w:tmpl w:val="8158AD2E"/>
    <w:lvl w:ilvl="0" w:tplc="48EA9D86">
      <w:start w:val="1"/>
      <w:numFmt w:val="lowerRoman"/>
      <w:pStyle w:val="slovn2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592A93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F72457"/>
    <w:multiLevelType w:val="hybridMultilevel"/>
    <w:tmpl w:val="351491DA"/>
    <w:lvl w:ilvl="0" w:tplc="EA8EDE7E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73C36B0"/>
    <w:multiLevelType w:val="hybridMultilevel"/>
    <w:tmpl w:val="61A6A51A"/>
    <w:lvl w:ilvl="0" w:tplc="C756AE1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120E0"/>
    <w:multiLevelType w:val="multilevel"/>
    <w:tmpl w:val="2C704C68"/>
    <w:lvl w:ilvl="0">
      <w:start w:val="1"/>
      <w:numFmt w:val="decimal"/>
      <w:lvlText w:val="%1."/>
      <w:lvlJc w:val="left"/>
      <w:pPr>
        <w:tabs>
          <w:tab w:val="num" w:pos="4327"/>
        </w:tabs>
        <w:ind w:left="4327" w:hanging="357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A315B3"/>
    <w:multiLevelType w:val="hybridMultilevel"/>
    <w:tmpl w:val="71949C28"/>
    <w:lvl w:ilvl="0" w:tplc="11CAD9B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D5F7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5BC2F6F"/>
    <w:multiLevelType w:val="multilevel"/>
    <w:tmpl w:val="E4CE625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313689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313689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6"/>
        </w:tabs>
        <w:ind w:left="4136" w:hanging="1584"/>
      </w:pPr>
      <w:rPr>
        <w:rFonts w:hint="default"/>
      </w:rPr>
    </w:lvl>
  </w:abstractNum>
  <w:abstractNum w:abstractNumId="17">
    <w:nsid w:val="3ACE40D8"/>
    <w:multiLevelType w:val="hybridMultilevel"/>
    <w:tmpl w:val="9F0C1AD6"/>
    <w:lvl w:ilvl="0" w:tplc="CE0C3D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764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ED4F82"/>
    <w:multiLevelType w:val="multilevel"/>
    <w:tmpl w:val="2E62B608"/>
    <w:lvl w:ilvl="0">
      <w:start w:val="1"/>
      <w:numFmt w:val="upperLetter"/>
      <w:lvlText w:val="Appendix %1"/>
      <w:lvlJc w:val="left"/>
      <w:pPr>
        <w:tabs>
          <w:tab w:val="num" w:pos="720"/>
        </w:tabs>
        <w:ind w:left="720" w:hanging="720"/>
      </w:pPr>
      <w:rPr>
        <w:rFonts w:hint="default"/>
        <w:color w:val="7F7F7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426DA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3F651C4"/>
    <w:multiLevelType w:val="hybridMultilevel"/>
    <w:tmpl w:val="BAB4FF04"/>
    <w:lvl w:ilvl="0" w:tplc="C518CC9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62D02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C5162AC"/>
    <w:multiLevelType w:val="hybridMultilevel"/>
    <w:tmpl w:val="D12C2FCE"/>
    <w:lvl w:ilvl="0" w:tplc="85CE9A00">
      <w:start w:val="1"/>
      <w:numFmt w:val="decimal"/>
      <w:pStyle w:val="slov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500099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5B22765"/>
    <w:multiLevelType w:val="hybridMultilevel"/>
    <w:tmpl w:val="6F602DCA"/>
    <w:lvl w:ilvl="0" w:tplc="227071B2">
      <w:start w:val="1"/>
      <w:numFmt w:val="lowerRoman"/>
      <w:pStyle w:val="slovn3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9C2DFE"/>
    <w:multiLevelType w:val="hybridMultilevel"/>
    <w:tmpl w:val="3EA6C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D1E69"/>
    <w:multiLevelType w:val="hybridMultilevel"/>
    <w:tmpl w:val="F9640510"/>
    <w:lvl w:ilvl="0" w:tplc="9C30731C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770B20D6"/>
    <w:multiLevelType w:val="hybridMultilevel"/>
    <w:tmpl w:val="009827E8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24CE8"/>
    <w:multiLevelType w:val="hybridMultilevel"/>
    <w:tmpl w:val="D6201618"/>
    <w:lvl w:ilvl="0" w:tplc="F3745196">
      <w:start w:val="1"/>
      <w:numFmt w:val="bullet"/>
      <w:lvlText w:val="‒"/>
      <w:lvlJc w:val="left"/>
      <w:pPr>
        <w:ind w:left="1146" w:hanging="36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1"/>
  </w:num>
  <w:num w:numId="5">
    <w:abstractNumId w:val="28"/>
  </w:num>
  <w:num w:numId="6">
    <w:abstractNumId w:val="26"/>
  </w:num>
  <w:num w:numId="7">
    <w:abstractNumId w:val="17"/>
  </w:num>
  <w:num w:numId="8">
    <w:abstractNumId w:val="20"/>
  </w:num>
  <w:num w:numId="9">
    <w:abstractNumId w:val="14"/>
  </w:num>
  <w:num w:numId="10">
    <w:abstractNumId w:val="3"/>
  </w:num>
  <w:num w:numId="11">
    <w:abstractNumId w:val="8"/>
  </w:num>
  <w:num w:numId="12">
    <w:abstractNumId w:val="18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21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2"/>
  </w:num>
  <w:num w:numId="25">
    <w:abstractNumId w:val="10"/>
    <w:lvlOverride w:ilvl="0">
      <w:startOverride w:val="1"/>
    </w:lvlOverride>
  </w:num>
  <w:num w:numId="26">
    <w:abstractNumId w:val="24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</w:num>
  <w:num w:numId="34">
    <w:abstractNumId w:val="27"/>
  </w:num>
  <w:num w:numId="35">
    <w:abstractNumId w:val="25"/>
  </w:num>
  <w:num w:numId="36">
    <w:abstractNumId w:val="24"/>
    <w:lvlOverride w:ilvl="0">
      <w:startOverride w:val="1"/>
    </w:lvlOverride>
  </w:num>
  <w:num w:numId="3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b2563,#938d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DF"/>
    <w:rsid w:val="00001CC6"/>
    <w:rsid w:val="000022CA"/>
    <w:rsid w:val="00007794"/>
    <w:rsid w:val="000179BF"/>
    <w:rsid w:val="00025631"/>
    <w:rsid w:val="00055D80"/>
    <w:rsid w:val="0006321A"/>
    <w:rsid w:val="0006443F"/>
    <w:rsid w:val="000664F4"/>
    <w:rsid w:val="0006779A"/>
    <w:rsid w:val="00067F29"/>
    <w:rsid w:val="00071E6F"/>
    <w:rsid w:val="0007661B"/>
    <w:rsid w:val="0008044E"/>
    <w:rsid w:val="00097D93"/>
    <w:rsid w:val="000A79E4"/>
    <w:rsid w:val="000B54CC"/>
    <w:rsid w:val="000C03F3"/>
    <w:rsid w:val="000C5542"/>
    <w:rsid w:val="000C7D56"/>
    <w:rsid w:val="00101AEA"/>
    <w:rsid w:val="00104C15"/>
    <w:rsid w:val="00105D3B"/>
    <w:rsid w:val="0011069F"/>
    <w:rsid w:val="00120AAA"/>
    <w:rsid w:val="001268C3"/>
    <w:rsid w:val="00127D59"/>
    <w:rsid w:val="0014479C"/>
    <w:rsid w:val="001452A2"/>
    <w:rsid w:val="001647DF"/>
    <w:rsid w:val="00173687"/>
    <w:rsid w:val="0018029E"/>
    <w:rsid w:val="001964BE"/>
    <w:rsid w:val="001A088C"/>
    <w:rsid w:val="001A3AFF"/>
    <w:rsid w:val="001B687D"/>
    <w:rsid w:val="001C10B6"/>
    <w:rsid w:val="001C2242"/>
    <w:rsid w:val="001D57BF"/>
    <w:rsid w:val="001E5206"/>
    <w:rsid w:val="001E639B"/>
    <w:rsid w:val="001F7EB1"/>
    <w:rsid w:val="002118E6"/>
    <w:rsid w:val="00214C03"/>
    <w:rsid w:val="00236873"/>
    <w:rsid w:val="00260EF8"/>
    <w:rsid w:val="00263703"/>
    <w:rsid w:val="00266FCC"/>
    <w:rsid w:val="002B153E"/>
    <w:rsid w:val="002B21E9"/>
    <w:rsid w:val="002C11FB"/>
    <w:rsid w:val="002D2341"/>
    <w:rsid w:val="002D5FC2"/>
    <w:rsid w:val="002E2294"/>
    <w:rsid w:val="00302148"/>
    <w:rsid w:val="003152C1"/>
    <w:rsid w:val="00320C9C"/>
    <w:rsid w:val="0032159A"/>
    <w:rsid w:val="0032732E"/>
    <w:rsid w:val="00336150"/>
    <w:rsid w:val="003520F5"/>
    <w:rsid w:val="0036065A"/>
    <w:rsid w:val="003A26D6"/>
    <w:rsid w:val="003A2CCD"/>
    <w:rsid w:val="003A391C"/>
    <w:rsid w:val="003A4586"/>
    <w:rsid w:val="003B2C8D"/>
    <w:rsid w:val="003D4A80"/>
    <w:rsid w:val="003E0F70"/>
    <w:rsid w:val="003E279F"/>
    <w:rsid w:val="003F5831"/>
    <w:rsid w:val="003F7605"/>
    <w:rsid w:val="004152B2"/>
    <w:rsid w:val="00427C1F"/>
    <w:rsid w:val="00430C35"/>
    <w:rsid w:val="00437D78"/>
    <w:rsid w:val="00444E30"/>
    <w:rsid w:val="004511E1"/>
    <w:rsid w:val="00467459"/>
    <w:rsid w:val="00480022"/>
    <w:rsid w:val="00480AD9"/>
    <w:rsid w:val="00481258"/>
    <w:rsid w:val="00491232"/>
    <w:rsid w:val="004C02E6"/>
    <w:rsid w:val="004D343D"/>
    <w:rsid w:val="004E294C"/>
    <w:rsid w:val="004E5D5B"/>
    <w:rsid w:val="0051653F"/>
    <w:rsid w:val="005240BD"/>
    <w:rsid w:val="00524348"/>
    <w:rsid w:val="00531FE6"/>
    <w:rsid w:val="0053271F"/>
    <w:rsid w:val="0054301E"/>
    <w:rsid w:val="00561A06"/>
    <w:rsid w:val="00562819"/>
    <w:rsid w:val="0056381C"/>
    <w:rsid w:val="00573B3E"/>
    <w:rsid w:val="0057402E"/>
    <w:rsid w:val="005758FE"/>
    <w:rsid w:val="00580409"/>
    <w:rsid w:val="005A2E8E"/>
    <w:rsid w:val="005B2D49"/>
    <w:rsid w:val="005B43DA"/>
    <w:rsid w:val="005D3893"/>
    <w:rsid w:val="005F0642"/>
    <w:rsid w:val="00642D85"/>
    <w:rsid w:val="00655F77"/>
    <w:rsid w:val="00675AD6"/>
    <w:rsid w:val="00680078"/>
    <w:rsid w:val="00683663"/>
    <w:rsid w:val="00694CBF"/>
    <w:rsid w:val="006957D2"/>
    <w:rsid w:val="006A2065"/>
    <w:rsid w:val="006B5067"/>
    <w:rsid w:val="006D0E98"/>
    <w:rsid w:val="006E4968"/>
    <w:rsid w:val="006F5F5F"/>
    <w:rsid w:val="0070608A"/>
    <w:rsid w:val="0071317F"/>
    <w:rsid w:val="00714801"/>
    <w:rsid w:val="00715193"/>
    <w:rsid w:val="007152DC"/>
    <w:rsid w:val="00715F03"/>
    <w:rsid w:val="007312FD"/>
    <w:rsid w:val="007379E0"/>
    <w:rsid w:val="007754A3"/>
    <w:rsid w:val="00783F88"/>
    <w:rsid w:val="00784AC6"/>
    <w:rsid w:val="007B57F0"/>
    <w:rsid w:val="007B6150"/>
    <w:rsid w:val="007D058E"/>
    <w:rsid w:val="007D4A45"/>
    <w:rsid w:val="007D570A"/>
    <w:rsid w:val="007D767A"/>
    <w:rsid w:val="007E01DF"/>
    <w:rsid w:val="007F2D26"/>
    <w:rsid w:val="007F3E0B"/>
    <w:rsid w:val="007F4A43"/>
    <w:rsid w:val="007F56C4"/>
    <w:rsid w:val="007F63EC"/>
    <w:rsid w:val="008042E0"/>
    <w:rsid w:val="00810442"/>
    <w:rsid w:val="00812557"/>
    <w:rsid w:val="008251D0"/>
    <w:rsid w:val="00827B81"/>
    <w:rsid w:val="0083388F"/>
    <w:rsid w:val="00865B58"/>
    <w:rsid w:val="008770CE"/>
    <w:rsid w:val="00883D17"/>
    <w:rsid w:val="00894D35"/>
    <w:rsid w:val="008A26C6"/>
    <w:rsid w:val="008B1C5C"/>
    <w:rsid w:val="008B7126"/>
    <w:rsid w:val="008E028B"/>
    <w:rsid w:val="008F5881"/>
    <w:rsid w:val="009007F4"/>
    <w:rsid w:val="00901C67"/>
    <w:rsid w:val="009074FD"/>
    <w:rsid w:val="00914058"/>
    <w:rsid w:val="0091651F"/>
    <w:rsid w:val="00947149"/>
    <w:rsid w:val="0095246D"/>
    <w:rsid w:val="009556BC"/>
    <w:rsid w:val="00964B83"/>
    <w:rsid w:val="009856AA"/>
    <w:rsid w:val="00997B54"/>
    <w:rsid w:val="009B50E3"/>
    <w:rsid w:val="009B7184"/>
    <w:rsid w:val="009C14CB"/>
    <w:rsid w:val="009C39F0"/>
    <w:rsid w:val="009D6C4F"/>
    <w:rsid w:val="009E1628"/>
    <w:rsid w:val="009E1AC7"/>
    <w:rsid w:val="009E728D"/>
    <w:rsid w:val="00A024BF"/>
    <w:rsid w:val="00A06783"/>
    <w:rsid w:val="00A17767"/>
    <w:rsid w:val="00A22148"/>
    <w:rsid w:val="00A309E1"/>
    <w:rsid w:val="00A30A25"/>
    <w:rsid w:val="00A40AFB"/>
    <w:rsid w:val="00A4219A"/>
    <w:rsid w:val="00A502A0"/>
    <w:rsid w:val="00A571EC"/>
    <w:rsid w:val="00A572C0"/>
    <w:rsid w:val="00A714AE"/>
    <w:rsid w:val="00A82567"/>
    <w:rsid w:val="00A82759"/>
    <w:rsid w:val="00A86538"/>
    <w:rsid w:val="00A94EA9"/>
    <w:rsid w:val="00A9668D"/>
    <w:rsid w:val="00A97B44"/>
    <w:rsid w:val="00AB46EE"/>
    <w:rsid w:val="00AC05DC"/>
    <w:rsid w:val="00AC5164"/>
    <w:rsid w:val="00B10080"/>
    <w:rsid w:val="00B1274B"/>
    <w:rsid w:val="00B203F1"/>
    <w:rsid w:val="00B20EBA"/>
    <w:rsid w:val="00B30EDA"/>
    <w:rsid w:val="00B337B9"/>
    <w:rsid w:val="00B455EF"/>
    <w:rsid w:val="00B613C3"/>
    <w:rsid w:val="00B623F0"/>
    <w:rsid w:val="00B67DE9"/>
    <w:rsid w:val="00B73FBF"/>
    <w:rsid w:val="00B87859"/>
    <w:rsid w:val="00B9104F"/>
    <w:rsid w:val="00B967A2"/>
    <w:rsid w:val="00BA1972"/>
    <w:rsid w:val="00BB55A0"/>
    <w:rsid w:val="00BB6FAC"/>
    <w:rsid w:val="00BE14DC"/>
    <w:rsid w:val="00BE2F0F"/>
    <w:rsid w:val="00C05532"/>
    <w:rsid w:val="00C322BC"/>
    <w:rsid w:val="00C36978"/>
    <w:rsid w:val="00C52DC5"/>
    <w:rsid w:val="00C554F0"/>
    <w:rsid w:val="00CC2FED"/>
    <w:rsid w:val="00CE4796"/>
    <w:rsid w:val="00CF67E7"/>
    <w:rsid w:val="00CF77B0"/>
    <w:rsid w:val="00D311B0"/>
    <w:rsid w:val="00D31261"/>
    <w:rsid w:val="00D3333A"/>
    <w:rsid w:val="00D44AA8"/>
    <w:rsid w:val="00D45D47"/>
    <w:rsid w:val="00D66D1D"/>
    <w:rsid w:val="00D77A8B"/>
    <w:rsid w:val="00D8369F"/>
    <w:rsid w:val="00D97FCC"/>
    <w:rsid w:val="00DA0209"/>
    <w:rsid w:val="00DA19E8"/>
    <w:rsid w:val="00DA65D5"/>
    <w:rsid w:val="00DB2445"/>
    <w:rsid w:val="00DB2DCE"/>
    <w:rsid w:val="00DB4804"/>
    <w:rsid w:val="00DB4B48"/>
    <w:rsid w:val="00DB5EE0"/>
    <w:rsid w:val="00DE2B3A"/>
    <w:rsid w:val="00DF2B79"/>
    <w:rsid w:val="00DF53F1"/>
    <w:rsid w:val="00E2544C"/>
    <w:rsid w:val="00E3079F"/>
    <w:rsid w:val="00E338D7"/>
    <w:rsid w:val="00E379F4"/>
    <w:rsid w:val="00E4449A"/>
    <w:rsid w:val="00E5236D"/>
    <w:rsid w:val="00E5732F"/>
    <w:rsid w:val="00E61AAB"/>
    <w:rsid w:val="00E67070"/>
    <w:rsid w:val="00E72E35"/>
    <w:rsid w:val="00E77B7A"/>
    <w:rsid w:val="00E833F5"/>
    <w:rsid w:val="00EA1171"/>
    <w:rsid w:val="00EA6E8F"/>
    <w:rsid w:val="00EB1C1D"/>
    <w:rsid w:val="00EB7F23"/>
    <w:rsid w:val="00EB7F4A"/>
    <w:rsid w:val="00EC52DA"/>
    <w:rsid w:val="00F36263"/>
    <w:rsid w:val="00F37A75"/>
    <w:rsid w:val="00F40F40"/>
    <w:rsid w:val="00F42C9F"/>
    <w:rsid w:val="00F4583F"/>
    <w:rsid w:val="00F615D3"/>
    <w:rsid w:val="00F727DE"/>
    <w:rsid w:val="00F851ED"/>
    <w:rsid w:val="00F90FF1"/>
    <w:rsid w:val="00FA4F2C"/>
    <w:rsid w:val="00FB326A"/>
    <w:rsid w:val="00FB38E7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b2563,#938da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1DF"/>
    <w:pPr>
      <w:spacing w:before="120" w:after="120" w:line="264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268C3"/>
    <w:pPr>
      <w:keepNext/>
      <w:keepLines/>
      <w:pageBreakBefore/>
      <w:numPr>
        <w:numId w:val="3"/>
      </w:numPr>
      <w:spacing w:before="480"/>
      <w:outlineLvl w:val="0"/>
    </w:pPr>
    <w:rPr>
      <w:rFonts w:cs="Arial"/>
      <w:b/>
      <w:bCs/>
      <w:color w:val="313689"/>
      <w:kern w:val="32"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68C3"/>
    <w:pPr>
      <w:keepNext/>
      <w:numPr>
        <w:ilvl w:val="1"/>
        <w:numId w:val="3"/>
      </w:numPr>
      <w:spacing w:before="240"/>
      <w:contextualSpacing/>
      <w:outlineLvl w:val="1"/>
    </w:pPr>
    <w:rPr>
      <w:rFonts w:cs="Arial"/>
      <w:b/>
      <w:iCs/>
      <w:color w:val="31368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268C3"/>
    <w:pPr>
      <w:keepNext/>
      <w:numPr>
        <w:ilvl w:val="2"/>
        <w:numId w:val="3"/>
      </w:numPr>
      <w:spacing w:before="240"/>
      <w:contextualSpacing/>
      <w:outlineLvl w:val="2"/>
    </w:pPr>
    <w:rPr>
      <w:rFonts w:cs="Arial"/>
      <w:b/>
      <w:color w:val="313689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qFormat/>
    <w:rsid w:val="001268C3"/>
    <w:pPr>
      <w:keepNext/>
      <w:numPr>
        <w:ilvl w:val="3"/>
        <w:numId w:val="3"/>
      </w:numPr>
      <w:contextualSpacing/>
      <w:outlineLvl w:val="3"/>
    </w:pPr>
    <w:rPr>
      <w:rFonts w:cs="Arial"/>
      <w:b/>
      <w:bCs/>
      <w:color w:val="313689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qFormat/>
    <w:rsid w:val="001268C3"/>
    <w:pPr>
      <w:numPr>
        <w:ilvl w:val="4"/>
        <w:numId w:val="3"/>
      </w:numPr>
      <w:contextualSpacing/>
      <w:outlineLvl w:val="4"/>
    </w:pPr>
    <w:rPr>
      <w:rFonts w:cs="Arial"/>
      <w:bCs/>
      <w:iCs/>
      <w:color w:val="313689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rsid w:val="0018029E"/>
    <w:pPr>
      <w:numPr>
        <w:ilvl w:val="5"/>
        <w:numId w:val="3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1268C3"/>
    <w:pPr>
      <w:numPr>
        <w:ilvl w:val="6"/>
        <w:numId w:val="3"/>
      </w:numPr>
      <w:spacing w:after="0"/>
      <w:outlineLvl w:val="6"/>
    </w:pPr>
    <w:rPr>
      <w:b/>
      <w:bCs/>
      <w:i/>
      <w:iCs/>
      <w:color w:val="5A5A5A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1268C3"/>
    <w:pPr>
      <w:tabs>
        <w:tab w:val="num" w:pos="1440"/>
      </w:tabs>
      <w:spacing w:after="0"/>
      <w:ind w:left="1440" w:hanging="1440"/>
      <w:outlineLvl w:val="7"/>
    </w:pPr>
    <w:rPr>
      <w:b/>
      <w:bCs/>
      <w:color w:val="7F7F7F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1268C3"/>
    <w:pPr>
      <w:tabs>
        <w:tab w:val="num" w:pos="1843"/>
      </w:tabs>
      <w:spacing w:after="0" w:line="271" w:lineRule="auto"/>
      <w:ind w:left="1584" w:hanging="1584"/>
      <w:outlineLvl w:val="8"/>
    </w:pPr>
    <w:rPr>
      <w:bCs/>
      <w:iCs/>
      <w:color w:val="7F7F7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68C3"/>
    <w:rPr>
      <w:rFonts w:ascii="Arial" w:hAnsi="Arial" w:cs="Arial"/>
      <w:b/>
      <w:bCs/>
      <w:color w:val="313689"/>
      <w:kern w:val="32"/>
      <w:sz w:val="36"/>
      <w:szCs w:val="32"/>
    </w:rPr>
  </w:style>
  <w:style w:type="character" w:customStyle="1" w:styleId="Nadpis2Char">
    <w:name w:val="Nadpis 2 Char"/>
    <w:link w:val="Nadpis2"/>
    <w:rsid w:val="000B54CC"/>
    <w:rPr>
      <w:rFonts w:ascii="Arial" w:hAnsi="Arial" w:cs="Arial"/>
      <w:b/>
      <w:iCs/>
      <w:color w:val="313689"/>
      <w:sz w:val="28"/>
      <w:szCs w:val="28"/>
    </w:rPr>
  </w:style>
  <w:style w:type="character" w:customStyle="1" w:styleId="Nadpis3Char">
    <w:name w:val="Nadpis 3 Char"/>
    <w:link w:val="Nadpis3"/>
    <w:rsid w:val="000B54CC"/>
    <w:rPr>
      <w:rFonts w:ascii="Arial" w:hAnsi="Arial" w:cs="Arial"/>
      <w:b/>
      <w:color w:val="313689"/>
      <w:sz w:val="24"/>
      <w:szCs w:val="24"/>
    </w:rPr>
  </w:style>
  <w:style w:type="character" w:customStyle="1" w:styleId="Nadpis4Char">
    <w:name w:val="Nadpis 4 Char"/>
    <w:link w:val="Nadpis4"/>
    <w:semiHidden/>
    <w:rsid w:val="000B54CC"/>
    <w:rPr>
      <w:rFonts w:ascii="Arial" w:hAnsi="Arial" w:cs="Arial"/>
      <w:b/>
      <w:bCs/>
      <w:color w:val="313689"/>
      <w:sz w:val="22"/>
    </w:rPr>
  </w:style>
  <w:style w:type="character" w:customStyle="1" w:styleId="Nadpis5Char">
    <w:name w:val="Nadpis 5 Char"/>
    <w:link w:val="Nadpis5"/>
    <w:semiHidden/>
    <w:rsid w:val="000B54CC"/>
    <w:rPr>
      <w:rFonts w:ascii="Arial" w:hAnsi="Arial" w:cs="Arial"/>
      <w:bCs/>
      <w:iCs/>
      <w:color w:val="313689"/>
      <w:sz w:val="22"/>
    </w:rPr>
  </w:style>
  <w:style w:type="character" w:customStyle="1" w:styleId="Nadpis6Char">
    <w:name w:val="Nadpis 6 Char"/>
    <w:link w:val="Nadpis6"/>
    <w:uiPriority w:val="9"/>
    <w:semiHidden/>
    <w:rsid w:val="000B54CC"/>
    <w:rPr>
      <w:rFonts w:ascii="Arial" w:hAnsi="Arial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Nadpis7Char">
    <w:name w:val="Nadpis 7 Char"/>
    <w:link w:val="Nadpis7"/>
    <w:uiPriority w:val="9"/>
    <w:semiHidden/>
    <w:rsid w:val="000B54CC"/>
    <w:rPr>
      <w:rFonts w:ascii="Arial" w:hAnsi="Arial"/>
      <w:b/>
      <w:bCs/>
      <w:i/>
      <w:iCs/>
      <w:color w:val="5A5A5A"/>
      <w:sz w:val="22"/>
    </w:rPr>
  </w:style>
  <w:style w:type="character" w:customStyle="1" w:styleId="Nadpis8Char">
    <w:name w:val="Nadpis 8 Char"/>
    <w:link w:val="Nadpis8"/>
    <w:uiPriority w:val="9"/>
    <w:semiHidden/>
    <w:rsid w:val="000B54CC"/>
    <w:rPr>
      <w:rFonts w:ascii="Arial" w:hAnsi="Arial"/>
      <w:b/>
      <w:bCs/>
      <w:color w:val="7F7F7F"/>
      <w:sz w:val="22"/>
    </w:rPr>
  </w:style>
  <w:style w:type="character" w:customStyle="1" w:styleId="Nadpis9Char">
    <w:name w:val="Nadpis 9 Char"/>
    <w:link w:val="Nadpis9"/>
    <w:uiPriority w:val="9"/>
    <w:semiHidden/>
    <w:rsid w:val="000B54CC"/>
    <w:rPr>
      <w:rFonts w:ascii="Arial" w:hAnsi="Arial"/>
      <w:bCs/>
      <w:iCs/>
      <w:color w:val="7F7F7F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77A8B"/>
    <w:pPr>
      <w:framePr w:hSpace="141" w:wrap="around" w:vAnchor="text" w:hAnchor="margin" w:y="400"/>
      <w:tabs>
        <w:tab w:val="center" w:pos="4680"/>
        <w:tab w:val="right" w:pos="9360"/>
      </w:tabs>
      <w:spacing w:before="0" w:after="0" w:line="240" w:lineRule="auto"/>
    </w:pPr>
    <w:rPr>
      <w:b/>
      <w:color w:val="808080"/>
    </w:rPr>
  </w:style>
  <w:style w:type="character" w:customStyle="1" w:styleId="ZhlavChar">
    <w:name w:val="Záhlaví Char"/>
    <w:link w:val="Zhlav"/>
    <w:uiPriority w:val="99"/>
    <w:rsid w:val="00D77A8B"/>
    <w:rPr>
      <w:rFonts w:ascii="Arial" w:hAnsi="Arial"/>
      <w:b/>
      <w:color w:val="808080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F5831"/>
    <w:rPr>
      <w:rFonts w:ascii="Tahoma" w:eastAsia="Times New Roman" w:hAnsi="Tahoma" w:cs="Tahoma"/>
      <w:sz w:val="16"/>
      <w:szCs w:val="16"/>
    </w:rPr>
  </w:style>
  <w:style w:type="paragraph" w:customStyle="1" w:styleId="Obrazek">
    <w:name w:val="Obrazek"/>
    <w:basedOn w:val="Normln"/>
    <w:next w:val="Normln"/>
    <w:semiHidden/>
    <w:qFormat/>
    <w:rsid w:val="001268C3"/>
    <w:pPr>
      <w:keepNext/>
      <w:spacing w:before="360"/>
    </w:pPr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1268C3"/>
    <w:pPr>
      <w:spacing w:before="240" w:after="240"/>
      <w:jc w:val="center"/>
    </w:pPr>
    <w:rPr>
      <w:b/>
      <w:color w:val="CE352B"/>
      <w:sz w:val="32"/>
      <w:szCs w:val="32"/>
      <w:lang w:eastAsia="cs-CZ"/>
    </w:rPr>
  </w:style>
  <w:style w:type="character" w:customStyle="1" w:styleId="PodtitulChar">
    <w:name w:val="Podtitul Char"/>
    <w:link w:val="Podtitul"/>
    <w:uiPriority w:val="11"/>
    <w:rsid w:val="001268C3"/>
    <w:rPr>
      <w:rFonts w:ascii="Arial" w:hAnsi="Arial"/>
      <w:b/>
      <w:color w:val="CE352B"/>
      <w:sz w:val="32"/>
      <w:szCs w:val="32"/>
    </w:rPr>
  </w:style>
  <w:style w:type="table" w:styleId="Svtlstnovnzvraznn1">
    <w:name w:val="Light Shading Accent 1"/>
    <w:basedOn w:val="Normlntabulka"/>
    <w:uiPriority w:val="60"/>
    <w:rsid w:val="009C14C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1268C3"/>
    <w:pPr>
      <w:jc w:val="center"/>
    </w:pPr>
    <w:rPr>
      <w:b/>
      <w:color w:val="313689"/>
      <w:sz w:val="40"/>
      <w:szCs w:val="40"/>
      <w:lang w:eastAsia="cs-CZ"/>
    </w:rPr>
  </w:style>
  <w:style w:type="character" w:customStyle="1" w:styleId="NzevChar">
    <w:name w:val="Název Char"/>
    <w:link w:val="Nzev"/>
    <w:uiPriority w:val="10"/>
    <w:rsid w:val="001268C3"/>
    <w:rPr>
      <w:rFonts w:ascii="Arial" w:hAnsi="Arial"/>
      <w:b/>
      <w:color w:val="313689"/>
      <w:sz w:val="40"/>
      <w:szCs w:val="40"/>
    </w:rPr>
  </w:style>
  <w:style w:type="table" w:styleId="Svtlseznamzvraznn1">
    <w:name w:val="Light List Accent 1"/>
    <w:aliases w:val="egap"/>
    <w:basedOn w:val="Normlntabulka"/>
    <w:uiPriority w:val="61"/>
    <w:rsid w:val="0032159A"/>
    <w:rPr>
      <w:rFonts w:ascii="Arial" w:hAnsi="Arial"/>
      <w:sz w:val="22"/>
    </w:rPr>
    <w:tblPr>
      <w:tblStyleRowBandSize w:val="1"/>
      <w:tblStyleColBandSize w:val="1"/>
      <w:tblInd w:w="0" w:type="dxa"/>
      <w:tblBorders>
        <w:insideV w:val="single" w:sz="6" w:space="0" w:color="1F497D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auto"/>
        <w:sz w:val="22"/>
      </w:rPr>
      <w:tblPr/>
      <w:tcPr>
        <w:tcBorders>
          <w:top w:val="single" w:sz="18" w:space="0" w:color="1F497D"/>
        </w:tcBorders>
        <w:shd w:val="clear" w:color="auto" w:fill="DBE5F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1F497D"/>
          <w:left w:val="nil"/>
          <w:bottom w:val="single" w:sz="6" w:space="0" w:color="1F497D"/>
          <w:right w:val="nil"/>
          <w:insideH w:val="nil"/>
          <w:insideV w:val="single" w:sz="6" w:space="0" w:color="1F497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1F497D"/>
          <w:left w:val="nil"/>
          <w:bottom w:val="single" w:sz="6" w:space="0" w:color="1F497D"/>
          <w:right w:val="nil"/>
          <w:insideH w:val="single" w:sz="6" w:space="0" w:color="1F497D"/>
          <w:insideV w:val="single" w:sz="6" w:space="0" w:color="1F497D"/>
          <w:tl2br w:val="nil"/>
          <w:tr2bl w:val="nil"/>
        </w:tcBorders>
      </w:tcPr>
    </w:tblStylePr>
    <w:tblStylePr w:type="band2Horz">
      <w:rPr>
        <w:rFonts w:ascii="Arial" w:hAnsi="Arial"/>
        <w:sz w:val="22"/>
      </w:rPr>
      <w:tblPr/>
      <w:tcPr>
        <w:tcBorders>
          <w:top w:val="single" w:sz="6" w:space="0" w:color="1F497D"/>
          <w:left w:val="nil"/>
          <w:bottom w:val="single" w:sz="6" w:space="0" w:color="1F497D"/>
          <w:right w:val="nil"/>
          <w:insideH w:val="nil"/>
          <w:insideV w:val="single" w:sz="6" w:space="0" w:color="1F497D"/>
          <w:tl2br w:val="nil"/>
          <w:tr2bl w:val="nil"/>
        </w:tcBorders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7E01DF"/>
    <w:pPr>
      <w:spacing w:before="0" w:after="0" w:line="240" w:lineRule="auto"/>
      <w:ind w:left="720"/>
      <w:contextualSpacing/>
    </w:pPr>
    <w:rPr>
      <w:rFonts w:ascii="Times New Roman" w:hAnsi="Times New Roman"/>
      <w:sz w:val="24"/>
      <w:szCs w:val="20"/>
      <w:lang w:eastAsia="cs-CZ"/>
    </w:rPr>
  </w:style>
  <w:style w:type="paragraph" w:customStyle="1" w:styleId="slovn">
    <w:name w:val="Číslování"/>
    <w:basedOn w:val="Odstavecseseznamem"/>
    <w:link w:val="slovnChar"/>
    <w:qFormat/>
    <w:rsid w:val="007E01DF"/>
    <w:pPr>
      <w:numPr>
        <w:numId w:val="24"/>
      </w:numPr>
      <w:spacing w:after="120"/>
      <w:contextualSpacing w:val="0"/>
    </w:pPr>
    <w:rPr>
      <w:rFonts w:ascii="Arial" w:hAnsi="Arial" w:cs="Arial"/>
      <w:sz w:val="22"/>
      <w:szCs w:val="22"/>
    </w:rPr>
  </w:style>
  <w:style w:type="paragraph" w:customStyle="1" w:styleId="slovn2">
    <w:name w:val="Číslování 2"/>
    <w:basedOn w:val="slovn"/>
    <w:link w:val="slovn2Char"/>
    <w:qFormat/>
    <w:rsid w:val="007E01DF"/>
    <w:pPr>
      <w:numPr>
        <w:numId w:val="25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E01DF"/>
    <w:rPr>
      <w:sz w:val="24"/>
    </w:rPr>
  </w:style>
  <w:style w:type="character" w:customStyle="1" w:styleId="slovnChar">
    <w:name w:val="Číslování Char"/>
    <w:basedOn w:val="OdstavecseseznamemChar"/>
    <w:link w:val="slovn"/>
    <w:rsid w:val="007E01DF"/>
    <w:rPr>
      <w:rFonts w:ascii="Arial" w:hAnsi="Arial" w:cs="Arial"/>
      <w:sz w:val="22"/>
      <w:szCs w:val="22"/>
    </w:rPr>
  </w:style>
  <w:style w:type="paragraph" w:customStyle="1" w:styleId="slovn3">
    <w:name w:val="Číslování 3"/>
    <w:basedOn w:val="Odstavecseseznamem"/>
    <w:link w:val="slovn3Char"/>
    <w:qFormat/>
    <w:rsid w:val="007E01DF"/>
    <w:pPr>
      <w:numPr>
        <w:numId w:val="26"/>
      </w:numPr>
      <w:spacing w:after="120"/>
      <w:ind w:left="1066" w:hanging="357"/>
      <w:contextualSpacing w:val="0"/>
    </w:pPr>
    <w:rPr>
      <w:rFonts w:ascii="Arial" w:hAnsi="Arial" w:cs="Arial"/>
      <w:sz w:val="22"/>
      <w:szCs w:val="22"/>
    </w:rPr>
  </w:style>
  <w:style w:type="character" w:customStyle="1" w:styleId="slovn2Char">
    <w:name w:val="Číslování 2 Char"/>
    <w:basedOn w:val="slovnChar"/>
    <w:link w:val="slovn2"/>
    <w:rsid w:val="007E01DF"/>
    <w:rPr>
      <w:rFonts w:ascii="Arial" w:hAnsi="Arial" w:cs="Arial"/>
      <w:sz w:val="22"/>
      <w:szCs w:val="22"/>
    </w:rPr>
  </w:style>
  <w:style w:type="character" w:customStyle="1" w:styleId="slovn3Char">
    <w:name w:val="Číslování 3 Char"/>
    <w:basedOn w:val="OdstavecseseznamemChar"/>
    <w:link w:val="slovn3"/>
    <w:rsid w:val="007E01DF"/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7E01DF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01DF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E01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1DF"/>
    <w:pPr>
      <w:spacing w:before="120" w:after="120" w:line="264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268C3"/>
    <w:pPr>
      <w:keepNext/>
      <w:keepLines/>
      <w:pageBreakBefore/>
      <w:numPr>
        <w:numId w:val="3"/>
      </w:numPr>
      <w:spacing w:before="480"/>
      <w:outlineLvl w:val="0"/>
    </w:pPr>
    <w:rPr>
      <w:rFonts w:cs="Arial"/>
      <w:b/>
      <w:bCs/>
      <w:color w:val="313689"/>
      <w:kern w:val="32"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68C3"/>
    <w:pPr>
      <w:keepNext/>
      <w:numPr>
        <w:ilvl w:val="1"/>
        <w:numId w:val="3"/>
      </w:numPr>
      <w:spacing w:before="240"/>
      <w:contextualSpacing/>
      <w:outlineLvl w:val="1"/>
    </w:pPr>
    <w:rPr>
      <w:rFonts w:cs="Arial"/>
      <w:b/>
      <w:iCs/>
      <w:color w:val="31368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268C3"/>
    <w:pPr>
      <w:keepNext/>
      <w:numPr>
        <w:ilvl w:val="2"/>
        <w:numId w:val="3"/>
      </w:numPr>
      <w:spacing w:before="240"/>
      <w:contextualSpacing/>
      <w:outlineLvl w:val="2"/>
    </w:pPr>
    <w:rPr>
      <w:rFonts w:cs="Arial"/>
      <w:b/>
      <w:color w:val="313689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qFormat/>
    <w:rsid w:val="001268C3"/>
    <w:pPr>
      <w:keepNext/>
      <w:numPr>
        <w:ilvl w:val="3"/>
        <w:numId w:val="3"/>
      </w:numPr>
      <w:contextualSpacing/>
      <w:outlineLvl w:val="3"/>
    </w:pPr>
    <w:rPr>
      <w:rFonts w:cs="Arial"/>
      <w:b/>
      <w:bCs/>
      <w:color w:val="313689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qFormat/>
    <w:rsid w:val="001268C3"/>
    <w:pPr>
      <w:numPr>
        <w:ilvl w:val="4"/>
        <w:numId w:val="3"/>
      </w:numPr>
      <w:contextualSpacing/>
      <w:outlineLvl w:val="4"/>
    </w:pPr>
    <w:rPr>
      <w:rFonts w:cs="Arial"/>
      <w:bCs/>
      <w:iCs/>
      <w:color w:val="313689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rsid w:val="0018029E"/>
    <w:pPr>
      <w:numPr>
        <w:ilvl w:val="5"/>
        <w:numId w:val="3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1268C3"/>
    <w:pPr>
      <w:numPr>
        <w:ilvl w:val="6"/>
        <w:numId w:val="3"/>
      </w:numPr>
      <w:spacing w:after="0"/>
      <w:outlineLvl w:val="6"/>
    </w:pPr>
    <w:rPr>
      <w:b/>
      <w:bCs/>
      <w:i/>
      <w:iCs/>
      <w:color w:val="5A5A5A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1268C3"/>
    <w:pPr>
      <w:tabs>
        <w:tab w:val="num" w:pos="1440"/>
      </w:tabs>
      <w:spacing w:after="0"/>
      <w:ind w:left="1440" w:hanging="1440"/>
      <w:outlineLvl w:val="7"/>
    </w:pPr>
    <w:rPr>
      <w:b/>
      <w:bCs/>
      <w:color w:val="7F7F7F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1268C3"/>
    <w:pPr>
      <w:tabs>
        <w:tab w:val="num" w:pos="1843"/>
      </w:tabs>
      <w:spacing w:after="0" w:line="271" w:lineRule="auto"/>
      <w:ind w:left="1584" w:hanging="1584"/>
      <w:outlineLvl w:val="8"/>
    </w:pPr>
    <w:rPr>
      <w:bCs/>
      <w:iCs/>
      <w:color w:val="7F7F7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68C3"/>
    <w:rPr>
      <w:rFonts w:ascii="Arial" w:hAnsi="Arial" w:cs="Arial"/>
      <w:b/>
      <w:bCs/>
      <w:color w:val="313689"/>
      <w:kern w:val="32"/>
      <w:sz w:val="36"/>
      <w:szCs w:val="32"/>
    </w:rPr>
  </w:style>
  <w:style w:type="character" w:customStyle="1" w:styleId="Nadpis2Char">
    <w:name w:val="Nadpis 2 Char"/>
    <w:link w:val="Nadpis2"/>
    <w:rsid w:val="000B54CC"/>
    <w:rPr>
      <w:rFonts w:ascii="Arial" w:hAnsi="Arial" w:cs="Arial"/>
      <w:b/>
      <w:iCs/>
      <w:color w:val="313689"/>
      <w:sz w:val="28"/>
      <w:szCs w:val="28"/>
    </w:rPr>
  </w:style>
  <w:style w:type="character" w:customStyle="1" w:styleId="Nadpis3Char">
    <w:name w:val="Nadpis 3 Char"/>
    <w:link w:val="Nadpis3"/>
    <w:rsid w:val="000B54CC"/>
    <w:rPr>
      <w:rFonts w:ascii="Arial" w:hAnsi="Arial" w:cs="Arial"/>
      <w:b/>
      <w:color w:val="313689"/>
      <w:sz w:val="24"/>
      <w:szCs w:val="24"/>
    </w:rPr>
  </w:style>
  <w:style w:type="character" w:customStyle="1" w:styleId="Nadpis4Char">
    <w:name w:val="Nadpis 4 Char"/>
    <w:link w:val="Nadpis4"/>
    <w:semiHidden/>
    <w:rsid w:val="000B54CC"/>
    <w:rPr>
      <w:rFonts w:ascii="Arial" w:hAnsi="Arial" w:cs="Arial"/>
      <w:b/>
      <w:bCs/>
      <w:color w:val="313689"/>
      <w:sz w:val="22"/>
    </w:rPr>
  </w:style>
  <w:style w:type="character" w:customStyle="1" w:styleId="Nadpis5Char">
    <w:name w:val="Nadpis 5 Char"/>
    <w:link w:val="Nadpis5"/>
    <w:semiHidden/>
    <w:rsid w:val="000B54CC"/>
    <w:rPr>
      <w:rFonts w:ascii="Arial" w:hAnsi="Arial" w:cs="Arial"/>
      <w:bCs/>
      <w:iCs/>
      <w:color w:val="313689"/>
      <w:sz w:val="22"/>
    </w:rPr>
  </w:style>
  <w:style w:type="character" w:customStyle="1" w:styleId="Nadpis6Char">
    <w:name w:val="Nadpis 6 Char"/>
    <w:link w:val="Nadpis6"/>
    <w:uiPriority w:val="9"/>
    <w:semiHidden/>
    <w:rsid w:val="000B54CC"/>
    <w:rPr>
      <w:rFonts w:ascii="Arial" w:hAnsi="Arial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Nadpis7Char">
    <w:name w:val="Nadpis 7 Char"/>
    <w:link w:val="Nadpis7"/>
    <w:uiPriority w:val="9"/>
    <w:semiHidden/>
    <w:rsid w:val="000B54CC"/>
    <w:rPr>
      <w:rFonts w:ascii="Arial" w:hAnsi="Arial"/>
      <w:b/>
      <w:bCs/>
      <w:i/>
      <w:iCs/>
      <w:color w:val="5A5A5A"/>
      <w:sz w:val="22"/>
    </w:rPr>
  </w:style>
  <w:style w:type="character" w:customStyle="1" w:styleId="Nadpis8Char">
    <w:name w:val="Nadpis 8 Char"/>
    <w:link w:val="Nadpis8"/>
    <w:uiPriority w:val="9"/>
    <w:semiHidden/>
    <w:rsid w:val="000B54CC"/>
    <w:rPr>
      <w:rFonts w:ascii="Arial" w:hAnsi="Arial"/>
      <w:b/>
      <w:bCs/>
      <w:color w:val="7F7F7F"/>
      <w:sz w:val="22"/>
    </w:rPr>
  </w:style>
  <w:style w:type="character" w:customStyle="1" w:styleId="Nadpis9Char">
    <w:name w:val="Nadpis 9 Char"/>
    <w:link w:val="Nadpis9"/>
    <w:uiPriority w:val="9"/>
    <w:semiHidden/>
    <w:rsid w:val="000B54CC"/>
    <w:rPr>
      <w:rFonts w:ascii="Arial" w:hAnsi="Arial"/>
      <w:bCs/>
      <w:iCs/>
      <w:color w:val="7F7F7F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77A8B"/>
    <w:pPr>
      <w:framePr w:hSpace="141" w:wrap="around" w:vAnchor="text" w:hAnchor="margin" w:y="400"/>
      <w:tabs>
        <w:tab w:val="center" w:pos="4680"/>
        <w:tab w:val="right" w:pos="9360"/>
      </w:tabs>
      <w:spacing w:before="0" w:after="0" w:line="240" w:lineRule="auto"/>
    </w:pPr>
    <w:rPr>
      <w:b/>
      <w:color w:val="808080"/>
    </w:rPr>
  </w:style>
  <w:style w:type="character" w:customStyle="1" w:styleId="ZhlavChar">
    <w:name w:val="Záhlaví Char"/>
    <w:link w:val="Zhlav"/>
    <w:uiPriority w:val="99"/>
    <w:rsid w:val="00D77A8B"/>
    <w:rPr>
      <w:rFonts w:ascii="Arial" w:hAnsi="Arial"/>
      <w:b/>
      <w:color w:val="808080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F5831"/>
    <w:rPr>
      <w:rFonts w:ascii="Tahoma" w:eastAsia="Times New Roman" w:hAnsi="Tahoma" w:cs="Tahoma"/>
      <w:sz w:val="16"/>
      <w:szCs w:val="16"/>
    </w:rPr>
  </w:style>
  <w:style w:type="paragraph" w:customStyle="1" w:styleId="Obrazek">
    <w:name w:val="Obrazek"/>
    <w:basedOn w:val="Normln"/>
    <w:next w:val="Normln"/>
    <w:semiHidden/>
    <w:qFormat/>
    <w:rsid w:val="001268C3"/>
    <w:pPr>
      <w:keepNext/>
      <w:spacing w:before="360"/>
    </w:pPr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1268C3"/>
    <w:pPr>
      <w:spacing w:before="240" w:after="240"/>
      <w:jc w:val="center"/>
    </w:pPr>
    <w:rPr>
      <w:b/>
      <w:color w:val="CE352B"/>
      <w:sz w:val="32"/>
      <w:szCs w:val="32"/>
      <w:lang w:eastAsia="cs-CZ"/>
    </w:rPr>
  </w:style>
  <w:style w:type="character" w:customStyle="1" w:styleId="PodtitulChar">
    <w:name w:val="Podtitul Char"/>
    <w:link w:val="Podtitul"/>
    <w:uiPriority w:val="11"/>
    <w:rsid w:val="001268C3"/>
    <w:rPr>
      <w:rFonts w:ascii="Arial" w:hAnsi="Arial"/>
      <w:b/>
      <w:color w:val="CE352B"/>
      <w:sz w:val="32"/>
      <w:szCs w:val="32"/>
    </w:rPr>
  </w:style>
  <w:style w:type="table" w:styleId="Svtlstnovnzvraznn1">
    <w:name w:val="Light Shading Accent 1"/>
    <w:basedOn w:val="Normlntabulka"/>
    <w:uiPriority w:val="60"/>
    <w:rsid w:val="009C14C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1268C3"/>
    <w:pPr>
      <w:jc w:val="center"/>
    </w:pPr>
    <w:rPr>
      <w:b/>
      <w:color w:val="313689"/>
      <w:sz w:val="40"/>
      <w:szCs w:val="40"/>
      <w:lang w:eastAsia="cs-CZ"/>
    </w:rPr>
  </w:style>
  <w:style w:type="character" w:customStyle="1" w:styleId="NzevChar">
    <w:name w:val="Název Char"/>
    <w:link w:val="Nzev"/>
    <w:uiPriority w:val="10"/>
    <w:rsid w:val="001268C3"/>
    <w:rPr>
      <w:rFonts w:ascii="Arial" w:hAnsi="Arial"/>
      <w:b/>
      <w:color w:val="313689"/>
      <w:sz w:val="40"/>
      <w:szCs w:val="40"/>
    </w:rPr>
  </w:style>
  <w:style w:type="table" w:styleId="Svtlseznamzvraznn1">
    <w:name w:val="Light List Accent 1"/>
    <w:aliases w:val="egap"/>
    <w:basedOn w:val="Normlntabulka"/>
    <w:uiPriority w:val="61"/>
    <w:rsid w:val="0032159A"/>
    <w:rPr>
      <w:rFonts w:ascii="Arial" w:hAnsi="Arial"/>
      <w:sz w:val="22"/>
    </w:rPr>
    <w:tblPr>
      <w:tblStyleRowBandSize w:val="1"/>
      <w:tblStyleColBandSize w:val="1"/>
      <w:tblInd w:w="0" w:type="dxa"/>
      <w:tblBorders>
        <w:insideV w:val="single" w:sz="6" w:space="0" w:color="1F497D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auto"/>
        <w:sz w:val="22"/>
      </w:rPr>
      <w:tblPr/>
      <w:tcPr>
        <w:tcBorders>
          <w:top w:val="single" w:sz="18" w:space="0" w:color="1F497D"/>
        </w:tcBorders>
        <w:shd w:val="clear" w:color="auto" w:fill="DBE5F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1F497D"/>
          <w:left w:val="nil"/>
          <w:bottom w:val="single" w:sz="6" w:space="0" w:color="1F497D"/>
          <w:right w:val="nil"/>
          <w:insideH w:val="nil"/>
          <w:insideV w:val="single" w:sz="6" w:space="0" w:color="1F497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1F497D"/>
          <w:left w:val="nil"/>
          <w:bottom w:val="single" w:sz="6" w:space="0" w:color="1F497D"/>
          <w:right w:val="nil"/>
          <w:insideH w:val="single" w:sz="6" w:space="0" w:color="1F497D"/>
          <w:insideV w:val="single" w:sz="6" w:space="0" w:color="1F497D"/>
          <w:tl2br w:val="nil"/>
          <w:tr2bl w:val="nil"/>
        </w:tcBorders>
      </w:tcPr>
    </w:tblStylePr>
    <w:tblStylePr w:type="band2Horz">
      <w:rPr>
        <w:rFonts w:ascii="Arial" w:hAnsi="Arial"/>
        <w:sz w:val="22"/>
      </w:rPr>
      <w:tblPr/>
      <w:tcPr>
        <w:tcBorders>
          <w:top w:val="single" w:sz="6" w:space="0" w:color="1F497D"/>
          <w:left w:val="nil"/>
          <w:bottom w:val="single" w:sz="6" w:space="0" w:color="1F497D"/>
          <w:right w:val="nil"/>
          <w:insideH w:val="nil"/>
          <w:insideV w:val="single" w:sz="6" w:space="0" w:color="1F497D"/>
          <w:tl2br w:val="nil"/>
          <w:tr2bl w:val="nil"/>
        </w:tcBorders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7E01DF"/>
    <w:pPr>
      <w:spacing w:before="0" w:after="0" w:line="240" w:lineRule="auto"/>
      <w:ind w:left="720"/>
      <w:contextualSpacing/>
    </w:pPr>
    <w:rPr>
      <w:rFonts w:ascii="Times New Roman" w:hAnsi="Times New Roman"/>
      <w:sz w:val="24"/>
      <w:szCs w:val="20"/>
      <w:lang w:eastAsia="cs-CZ"/>
    </w:rPr>
  </w:style>
  <w:style w:type="paragraph" w:customStyle="1" w:styleId="slovn">
    <w:name w:val="Číslování"/>
    <w:basedOn w:val="Odstavecseseznamem"/>
    <w:link w:val="slovnChar"/>
    <w:qFormat/>
    <w:rsid w:val="007E01DF"/>
    <w:pPr>
      <w:numPr>
        <w:numId w:val="24"/>
      </w:numPr>
      <w:spacing w:after="120"/>
      <w:contextualSpacing w:val="0"/>
    </w:pPr>
    <w:rPr>
      <w:rFonts w:ascii="Arial" w:hAnsi="Arial" w:cs="Arial"/>
      <w:sz w:val="22"/>
      <w:szCs w:val="22"/>
    </w:rPr>
  </w:style>
  <w:style w:type="paragraph" w:customStyle="1" w:styleId="slovn2">
    <w:name w:val="Číslování 2"/>
    <w:basedOn w:val="slovn"/>
    <w:link w:val="slovn2Char"/>
    <w:qFormat/>
    <w:rsid w:val="007E01DF"/>
    <w:pPr>
      <w:numPr>
        <w:numId w:val="25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E01DF"/>
    <w:rPr>
      <w:sz w:val="24"/>
    </w:rPr>
  </w:style>
  <w:style w:type="character" w:customStyle="1" w:styleId="slovnChar">
    <w:name w:val="Číslování Char"/>
    <w:basedOn w:val="OdstavecseseznamemChar"/>
    <w:link w:val="slovn"/>
    <w:rsid w:val="007E01DF"/>
    <w:rPr>
      <w:rFonts w:ascii="Arial" w:hAnsi="Arial" w:cs="Arial"/>
      <w:sz w:val="22"/>
      <w:szCs w:val="22"/>
    </w:rPr>
  </w:style>
  <w:style w:type="paragraph" w:customStyle="1" w:styleId="slovn3">
    <w:name w:val="Číslování 3"/>
    <w:basedOn w:val="Odstavecseseznamem"/>
    <w:link w:val="slovn3Char"/>
    <w:qFormat/>
    <w:rsid w:val="007E01DF"/>
    <w:pPr>
      <w:numPr>
        <w:numId w:val="26"/>
      </w:numPr>
      <w:spacing w:after="120"/>
      <w:ind w:left="1066" w:hanging="357"/>
      <w:contextualSpacing w:val="0"/>
    </w:pPr>
    <w:rPr>
      <w:rFonts w:ascii="Arial" w:hAnsi="Arial" w:cs="Arial"/>
      <w:sz w:val="22"/>
      <w:szCs w:val="22"/>
    </w:rPr>
  </w:style>
  <w:style w:type="character" w:customStyle="1" w:styleId="slovn2Char">
    <w:name w:val="Číslování 2 Char"/>
    <w:basedOn w:val="slovnChar"/>
    <w:link w:val="slovn2"/>
    <w:rsid w:val="007E01DF"/>
    <w:rPr>
      <w:rFonts w:ascii="Arial" w:hAnsi="Arial" w:cs="Arial"/>
      <w:sz w:val="22"/>
      <w:szCs w:val="22"/>
    </w:rPr>
  </w:style>
  <w:style w:type="character" w:customStyle="1" w:styleId="slovn3Char">
    <w:name w:val="Číslování 3 Char"/>
    <w:basedOn w:val="OdstavecseseznamemChar"/>
    <w:link w:val="slovn3"/>
    <w:rsid w:val="007E01DF"/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7E01DF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01DF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E0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2913</Words>
  <Characters>16931</Characters>
  <Application>Microsoft Office Word</Application>
  <DocSecurity>0</DocSecurity>
  <Lines>302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EGAP</Company>
  <LinksUpToDate>false</LinksUpToDate>
  <CharactersWithSpaces>19724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>488141 v12</dc:subject>
  <dc:creator>Hikelova Hana</dc:creator>
  <cp:lastModifiedBy>Hikelova Hana</cp:lastModifiedBy>
  <cp:revision>1</cp:revision>
  <cp:lastPrinted>2012-11-05T13:30:00Z</cp:lastPrinted>
  <dcterms:created xsi:type="dcterms:W3CDTF">2013-10-14T06:34:00Z</dcterms:created>
  <dcterms:modified xsi:type="dcterms:W3CDTF">2013-10-14T06:43:00Z</dcterms:modified>
</cp:coreProperties>
</file>